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36EAD" w14:textId="77777777" w:rsidR="00DA1DD0" w:rsidRPr="001C2414" w:rsidRDefault="00DA1DD0" w:rsidP="00FC077F">
      <w:pPr>
        <w:rPr>
          <w:rFonts w:ascii="NewsGoth BT" w:hAnsi="NewsGoth BT"/>
          <w:iCs/>
          <w:sz w:val="20"/>
          <w:szCs w:val="20"/>
        </w:rPr>
      </w:pPr>
    </w:p>
    <w:p w14:paraId="5F3AE119" w14:textId="10102B5F" w:rsidR="00DA1DD0" w:rsidRPr="00826DC4" w:rsidRDefault="00DA1DD0" w:rsidP="00FA576A">
      <w:pPr>
        <w:rPr>
          <w:rFonts w:ascii="Arial" w:hAnsi="Arial" w:cs="Arial"/>
          <w:iCs/>
          <w:sz w:val="36"/>
          <w:szCs w:val="36"/>
        </w:rPr>
      </w:pPr>
      <w:r w:rsidRPr="00826DC4">
        <w:rPr>
          <w:rFonts w:ascii="Arial" w:hAnsi="Arial" w:cs="Arial"/>
          <w:sz w:val="36"/>
          <w:szCs w:val="36"/>
        </w:rPr>
        <w:t xml:space="preserve">A </w:t>
      </w:r>
      <w:r w:rsidR="00214730">
        <w:rPr>
          <w:rFonts w:ascii="Arial" w:hAnsi="Arial" w:cs="Arial"/>
          <w:sz w:val="36"/>
          <w:szCs w:val="36"/>
        </w:rPr>
        <w:t>s</w:t>
      </w:r>
      <w:r w:rsidR="000D620D">
        <w:rPr>
          <w:rFonts w:ascii="Arial" w:hAnsi="Arial" w:cs="Arial"/>
          <w:sz w:val="36"/>
          <w:szCs w:val="36"/>
        </w:rPr>
        <w:t xml:space="preserve">imple </w:t>
      </w:r>
      <w:r w:rsidR="00214730">
        <w:rPr>
          <w:rFonts w:ascii="Arial" w:hAnsi="Arial" w:cs="Arial"/>
          <w:sz w:val="36"/>
          <w:szCs w:val="36"/>
        </w:rPr>
        <w:t>g</w:t>
      </w:r>
      <w:r w:rsidRPr="00826DC4">
        <w:rPr>
          <w:rFonts w:ascii="Arial" w:hAnsi="Arial" w:cs="Arial"/>
          <w:sz w:val="36"/>
          <w:szCs w:val="36"/>
        </w:rPr>
        <w:t>uide to</w:t>
      </w:r>
      <w:r w:rsidR="00A75D98">
        <w:rPr>
          <w:rFonts w:ascii="Arial" w:hAnsi="Arial" w:cs="Arial"/>
          <w:sz w:val="36"/>
          <w:szCs w:val="36"/>
        </w:rPr>
        <w:t xml:space="preserve"> </w:t>
      </w:r>
      <w:r w:rsidR="009B5FF5">
        <w:rPr>
          <w:rFonts w:ascii="Arial" w:hAnsi="Arial" w:cs="Arial"/>
          <w:iCs/>
          <w:sz w:val="36"/>
          <w:szCs w:val="36"/>
        </w:rPr>
        <w:t xml:space="preserve">Autumn </w:t>
      </w:r>
      <w:r w:rsidR="00CD6444" w:rsidRPr="00826DC4">
        <w:rPr>
          <w:rFonts w:ascii="Arial" w:hAnsi="Arial" w:cs="Arial"/>
          <w:iCs/>
          <w:sz w:val="36"/>
          <w:szCs w:val="36"/>
        </w:rPr>
        <w:t>Budget 20</w:t>
      </w:r>
      <w:r w:rsidR="00E27F90" w:rsidRPr="00826DC4">
        <w:rPr>
          <w:rFonts w:ascii="Arial" w:hAnsi="Arial" w:cs="Arial"/>
          <w:iCs/>
          <w:sz w:val="36"/>
          <w:szCs w:val="36"/>
        </w:rPr>
        <w:t>2</w:t>
      </w:r>
      <w:r w:rsidR="00FE028C" w:rsidRPr="00826DC4">
        <w:rPr>
          <w:rFonts w:ascii="Arial" w:hAnsi="Arial" w:cs="Arial"/>
          <w:iCs/>
          <w:sz w:val="36"/>
          <w:szCs w:val="36"/>
        </w:rPr>
        <w:t>1</w:t>
      </w:r>
    </w:p>
    <w:p w14:paraId="70DA7803" w14:textId="77777777" w:rsidR="00DA1DD0" w:rsidRDefault="00DA1DD0" w:rsidP="00FA576A">
      <w:pPr>
        <w:pStyle w:val="Heading3"/>
        <w:spacing w:before="0" w:after="0"/>
        <w:rPr>
          <w:rFonts w:ascii="NewsGoth BT" w:hAnsi="NewsGoth BT"/>
          <w:bCs w:val="0"/>
          <w:sz w:val="20"/>
        </w:rPr>
      </w:pPr>
    </w:p>
    <w:p w14:paraId="5BBAB556" w14:textId="612EB988" w:rsidR="0065704D" w:rsidRPr="00A625DD" w:rsidRDefault="0065704D" w:rsidP="0065704D">
      <w:pPr>
        <w:rPr>
          <w:rFonts w:ascii="Arial" w:hAnsi="Arial" w:cs="Arial"/>
          <w:sz w:val="22"/>
          <w:szCs w:val="22"/>
        </w:rPr>
      </w:pPr>
      <w:r w:rsidRPr="00A625DD">
        <w:rPr>
          <w:rFonts w:ascii="Arial" w:hAnsi="Arial" w:cs="Arial"/>
          <w:sz w:val="22"/>
          <w:szCs w:val="22"/>
        </w:rPr>
        <w:t>This is a basic guide, prepared by ACCA’s Technical Advisory team, for members and their colleagues or clients. It</w:t>
      </w:r>
      <w:r w:rsidR="005772B0" w:rsidRPr="00A625DD">
        <w:rPr>
          <w:rFonts w:ascii="Arial" w:hAnsi="Arial" w:cs="Arial"/>
          <w:sz w:val="22"/>
          <w:szCs w:val="22"/>
        </w:rPr>
        <w:t>’s</w:t>
      </w:r>
      <w:r w:rsidRPr="00A625DD">
        <w:rPr>
          <w:rFonts w:ascii="Arial" w:hAnsi="Arial" w:cs="Arial"/>
          <w:sz w:val="22"/>
          <w:szCs w:val="22"/>
        </w:rPr>
        <w:t xml:space="preserve"> an introduction only and should not be used as a definitive guide since individual circumstances may vary. Specific advice should be obtained, where necessary.</w:t>
      </w:r>
    </w:p>
    <w:p w14:paraId="24CB9B28" w14:textId="77777777" w:rsidR="0065704D" w:rsidRPr="00A625DD" w:rsidRDefault="0065704D" w:rsidP="0065704D">
      <w:pPr>
        <w:rPr>
          <w:rFonts w:ascii="Arial" w:hAnsi="Arial" w:cs="Arial"/>
          <w:sz w:val="22"/>
          <w:szCs w:val="22"/>
        </w:rPr>
      </w:pPr>
    </w:p>
    <w:p w14:paraId="320C0B20" w14:textId="643ADC1B" w:rsidR="00A96611" w:rsidRPr="00EC3457" w:rsidRDefault="0065704D" w:rsidP="00EC3457">
      <w:pPr>
        <w:rPr>
          <w:rFonts w:ascii="Arial" w:hAnsi="Arial" w:cs="Arial"/>
          <w:color w:val="0B0C0C"/>
          <w:shd w:val="clear" w:color="auto" w:fill="FFFFFF"/>
        </w:rPr>
      </w:pPr>
      <w:r w:rsidRPr="00A625DD">
        <w:rPr>
          <w:rFonts w:ascii="Arial" w:hAnsi="Arial" w:cs="Arial"/>
          <w:sz w:val="22"/>
          <w:szCs w:val="22"/>
        </w:rPr>
        <w:t>The message from the Chancellor was</w:t>
      </w:r>
      <w:r w:rsidRPr="00A625DD">
        <w:rPr>
          <w:rFonts w:ascii="Arial" w:hAnsi="Arial" w:cs="Arial"/>
          <w:color w:val="0B0C0C"/>
          <w:sz w:val="22"/>
          <w:szCs w:val="22"/>
          <w:shd w:val="clear" w:color="auto" w:fill="FFFFFF"/>
        </w:rPr>
        <w:t xml:space="preserve"> </w:t>
      </w:r>
      <w:r w:rsidR="00214730">
        <w:rPr>
          <w:rFonts w:ascii="Arial" w:hAnsi="Arial" w:cs="Arial"/>
          <w:color w:val="0B0C0C"/>
          <w:sz w:val="22"/>
          <w:szCs w:val="22"/>
          <w:shd w:val="clear" w:color="auto" w:fill="FFFFFF"/>
        </w:rPr>
        <w:t xml:space="preserve">we are </w:t>
      </w:r>
      <w:r w:rsidR="00EC3457">
        <w:rPr>
          <w:rFonts w:ascii="Arial" w:hAnsi="Arial" w:cs="Arial"/>
          <w:color w:val="0B0C0C"/>
          <w:sz w:val="22"/>
          <w:szCs w:val="22"/>
          <w:shd w:val="clear" w:color="auto" w:fill="FFFFFF"/>
        </w:rPr>
        <w:t xml:space="preserve">entering a </w:t>
      </w:r>
      <w:r w:rsidR="00214730">
        <w:rPr>
          <w:rFonts w:ascii="Arial" w:hAnsi="Arial" w:cs="Arial"/>
          <w:color w:val="0B0C0C"/>
          <w:sz w:val="22"/>
          <w:szCs w:val="22"/>
          <w:shd w:val="clear" w:color="auto" w:fill="FFFFFF"/>
        </w:rPr>
        <w:t>‘</w:t>
      </w:r>
      <w:r w:rsidR="00EC3457">
        <w:rPr>
          <w:rFonts w:ascii="Arial" w:hAnsi="Arial" w:cs="Arial"/>
          <w:color w:val="0B0C0C"/>
          <w:sz w:val="22"/>
          <w:szCs w:val="22"/>
          <w:shd w:val="clear" w:color="auto" w:fill="FFFFFF"/>
        </w:rPr>
        <w:t>post covid age of optimism</w:t>
      </w:r>
      <w:r w:rsidR="00214730">
        <w:rPr>
          <w:rFonts w:ascii="Arial" w:hAnsi="Arial" w:cs="Arial"/>
          <w:color w:val="0B0C0C"/>
          <w:sz w:val="22"/>
          <w:szCs w:val="22"/>
          <w:shd w:val="clear" w:color="auto" w:fill="FFFFFF"/>
        </w:rPr>
        <w:t>’</w:t>
      </w:r>
      <w:r w:rsidR="00EC3457">
        <w:rPr>
          <w:rFonts w:ascii="Arial" w:hAnsi="Arial" w:cs="Arial"/>
          <w:color w:val="0B0C0C"/>
          <w:sz w:val="22"/>
          <w:szCs w:val="22"/>
          <w:shd w:val="clear" w:color="auto" w:fill="FFFFFF"/>
        </w:rPr>
        <w:t xml:space="preserve">. </w:t>
      </w:r>
    </w:p>
    <w:p w14:paraId="131389F1" w14:textId="77777777" w:rsidR="00A96611" w:rsidRPr="00A625DD" w:rsidRDefault="00A96611" w:rsidP="0065704D">
      <w:pPr>
        <w:rPr>
          <w:rFonts w:ascii="Arial" w:hAnsi="Arial" w:cs="Arial"/>
          <w:color w:val="0B0C0C"/>
          <w:sz w:val="22"/>
          <w:szCs w:val="22"/>
          <w:shd w:val="clear" w:color="auto" w:fill="FFFFFF"/>
        </w:rPr>
      </w:pPr>
    </w:p>
    <w:p w14:paraId="6F9FA8AE" w14:textId="510D754F" w:rsidR="0065704D" w:rsidRPr="00A625DD" w:rsidRDefault="0065704D" w:rsidP="0065704D">
      <w:pPr>
        <w:rPr>
          <w:rFonts w:ascii="Arial" w:hAnsi="Arial" w:cs="Arial"/>
          <w:sz w:val="22"/>
          <w:szCs w:val="22"/>
        </w:rPr>
      </w:pPr>
      <w:r w:rsidRPr="00A625DD">
        <w:rPr>
          <w:rFonts w:ascii="Arial" w:hAnsi="Arial" w:cs="Arial"/>
          <w:sz w:val="22"/>
          <w:szCs w:val="22"/>
        </w:rPr>
        <w:t>You can read the individual measures below.</w:t>
      </w:r>
    </w:p>
    <w:p w14:paraId="5B171C03" w14:textId="77777777" w:rsidR="003509D0" w:rsidRPr="00A625DD" w:rsidRDefault="003509D0" w:rsidP="00845527">
      <w:pPr>
        <w:rPr>
          <w:rFonts w:ascii="Arial" w:hAnsi="Arial" w:cs="Arial"/>
          <w:sz w:val="22"/>
          <w:szCs w:val="22"/>
        </w:rPr>
      </w:pPr>
    </w:p>
    <w:p w14:paraId="209A8239" w14:textId="02421734" w:rsidR="003509D0" w:rsidRPr="009B5FF5" w:rsidRDefault="003509D0" w:rsidP="00826DC4">
      <w:pPr>
        <w:rPr>
          <w:rFonts w:ascii="Arial" w:hAnsi="Arial" w:cs="Arial"/>
          <w:b/>
          <w:color w:val="FF0000"/>
          <w:sz w:val="22"/>
          <w:szCs w:val="22"/>
        </w:rPr>
      </w:pPr>
      <w:r w:rsidRPr="00A75D98">
        <w:rPr>
          <w:rFonts w:ascii="Arial" w:hAnsi="Arial" w:cs="Arial"/>
          <w:b/>
          <w:sz w:val="22"/>
          <w:szCs w:val="22"/>
        </w:rPr>
        <w:t>Rates and allowances</w:t>
      </w:r>
      <w:r w:rsidR="00826DC4" w:rsidRPr="009B5FF5">
        <w:rPr>
          <w:rFonts w:ascii="Arial" w:hAnsi="Arial" w:cs="Arial"/>
          <w:b/>
          <w:color w:val="FF0000"/>
          <w:sz w:val="22"/>
          <w:szCs w:val="22"/>
        </w:rPr>
        <w:br/>
      </w:r>
    </w:p>
    <w:tbl>
      <w:tblPr>
        <w:tblW w:w="99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9"/>
        <w:gridCol w:w="2410"/>
        <w:gridCol w:w="2241"/>
      </w:tblGrid>
      <w:tr w:rsidR="009B5FF5" w:rsidRPr="009B5FF5" w14:paraId="7FC11CC1" w14:textId="77777777" w:rsidTr="00A75D98">
        <w:trPr>
          <w:trHeight w:val="255"/>
        </w:trPr>
        <w:tc>
          <w:tcPr>
            <w:tcW w:w="5289" w:type="dxa"/>
            <w:shd w:val="clear" w:color="auto" w:fill="D9D9D9" w:themeFill="background1" w:themeFillShade="D9"/>
            <w:noWrap/>
            <w:vAlign w:val="bottom"/>
          </w:tcPr>
          <w:p w14:paraId="62828418" w14:textId="77777777" w:rsidR="006D4580" w:rsidRPr="00A75D98" w:rsidRDefault="006D4580" w:rsidP="00AF44C6">
            <w:pPr>
              <w:rPr>
                <w:rFonts w:ascii="Arial" w:hAnsi="Arial" w:cs="Arial"/>
                <w:sz w:val="22"/>
                <w:szCs w:val="22"/>
                <w:lang w:eastAsia="en-GB"/>
              </w:rPr>
            </w:pPr>
          </w:p>
        </w:tc>
        <w:tc>
          <w:tcPr>
            <w:tcW w:w="2410" w:type="dxa"/>
            <w:shd w:val="clear" w:color="auto" w:fill="D9D9D9" w:themeFill="background1" w:themeFillShade="D9"/>
            <w:noWrap/>
            <w:vAlign w:val="bottom"/>
          </w:tcPr>
          <w:p w14:paraId="4412802F" w14:textId="1DD4886F" w:rsidR="006D4580" w:rsidRPr="00A75D98" w:rsidRDefault="001731AA" w:rsidP="00AF44C6">
            <w:pPr>
              <w:jc w:val="center"/>
              <w:rPr>
                <w:rFonts w:ascii="Arial" w:hAnsi="Arial" w:cs="Arial"/>
                <w:b/>
                <w:bCs/>
                <w:sz w:val="22"/>
                <w:szCs w:val="22"/>
                <w:lang w:eastAsia="en-GB"/>
              </w:rPr>
            </w:pPr>
            <w:r w:rsidRPr="00A75D98">
              <w:rPr>
                <w:rFonts w:ascii="Arial" w:hAnsi="Arial" w:cs="Arial"/>
                <w:b/>
                <w:bCs/>
                <w:sz w:val="22"/>
                <w:szCs w:val="22"/>
                <w:lang w:eastAsia="en-GB"/>
              </w:rPr>
              <w:t>202</w:t>
            </w:r>
            <w:r w:rsidR="00A75D98" w:rsidRPr="00A75D98">
              <w:rPr>
                <w:rFonts w:ascii="Arial" w:hAnsi="Arial" w:cs="Arial"/>
                <w:b/>
                <w:bCs/>
                <w:sz w:val="22"/>
                <w:szCs w:val="22"/>
                <w:lang w:eastAsia="en-GB"/>
              </w:rPr>
              <w:t>2</w:t>
            </w:r>
            <w:r w:rsidRPr="00A75D98">
              <w:rPr>
                <w:rFonts w:ascii="Arial" w:hAnsi="Arial" w:cs="Arial"/>
                <w:b/>
                <w:bCs/>
                <w:sz w:val="22"/>
                <w:szCs w:val="22"/>
                <w:lang w:eastAsia="en-GB"/>
              </w:rPr>
              <w:t>/2</w:t>
            </w:r>
            <w:r w:rsidR="00A75D98" w:rsidRPr="00A75D98">
              <w:rPr>
                <w:rFonts w:ascii="Arial" w:hAnsi="Arial" w:cs="Arial"/>
                <w:b/>
                <w:bCs/>
                <w:sz w:val="22"/>
                <w:szCs w:val="22"/>
                <w:lang w:eastAsia="en-GB"/>
              </w:rPr>
              <w:t>3</w:t>
            </w:r>
          </w:p>
        </w:tc>
        <w:tc>
          <w:tcPr>
            <w:tcW w:w="2241" w:type="dxa"/>
            <w:shd w:val="clear" w:color="auto" w:fill="D9D9D9" w:themeFill="background1" w:themeFillShade="D9"/>
            <w:noWrap/>
            <w:vAlign w:val="bottom"/>
          </w:tcPr>
          <w:p w14:paraId="14CC6165" w14:textId="5FFBB3BD" w:rsidR="006D4580" w:rsidRPr="00A75D98" w:rsidRDefault="00E27F90" w:rsidP="00AF44C6">
            <w:pPr>
              <w:jc w:val="center"/>
              <w:rPr>
                <w:rFonts w:ascii="Arial" w:hAnsi="Arial" w:cs="Arial"/>
                <w:b/>
                <w:bCs/>
                <w:sz w:val="22"/>
                <w:szCs w:val="22"/>
                <w:lang w:eastAsia="en-GB"/>
              </w:rPr>
            </w:pPr>
            <w:r w:rsidRPr="00A75D98">
              <w:rPr>
                <w:rFonts w:ascii="Arial" w:hAnsi="Arial" w:cs="Arial"/>
                <w:b/>
                <w:bCs/>
                <w:sz w:val="22"/>
                <w:szCs w:val="22"/>
                <w:lang w:eastAsia="en-GB"/>
              </w:rPr>
              <w:t>202</w:t>
            </w:r>
            <w:r w:rsidR="00A75D98" w:rsidRPr="00A75D98">
              <w:rPr>
                <w:rFonts w:ascii="Arial" w:hAnsi="Arial" w:cs="Arial"/>
                <w:b/>
                <w:bCs/>
                <w:sz w:val="22"/>
                <w:szCs w:val="22"/>
                <w:lang w:eastAsia="en-GB"/>
              </w:rPr>
              <w:t>1</w:t>
            </w:r>
            <w:r w:rsidRPr="00A75D98">
              <w:rPr>
                <w:rFonts w:ascii="Arial" w:hAnsi="Arial" w:cs="Arial"/>
                <w:b/>
                <w:bCs/>
                <w:sz w:val="22"/>
                <w:szCs w:val="22"/>
                <w:lang w:eastAsia="en-GB"/>
              </w:rPr>
              <w:t>/2</w:t>
            </w:r>
            <w:r w:rsidR="00A75D98" w:rsidRPr="00A75D98">
              <w:rPr>
                <w:rFonts w:ascii="Arial" w:hAnsi="Arial" w:cs="Arial"/>
                <w:b/>
                <w:bCs/>
                <w:sz w:val="22"/>
                <w:szCs w:val="22"/>
                <w:lang w:eastAsia="en-GB"/>
              </w:rPr>
              <w:t>2</w:t>
            </w:r>
          </w:p>
        </w:tc>
      </w:tr>
      <w:tr w:rsidR="009B5FF5" w:rsidRPr="009B5FF5" w14:paraId="32C66DBC" w14:textId="77777777" w:rsidTr="00A75D98">
        <w:trPr>
          <w:trHeight w:val="255"/>
        </w:trPr>
        <w:tc>
          <w:tcPr>
            <w:tcW w:w="9940" w:type="dxa"/>
            <w:gridSpan w:val="3"/>
            <w:shd w:val="clear" w:color="auto" w:fill="D9D9D9" w:themeFill="background1" w:themeFillShade="D9"/>
            <w:noWrap/>
            <w:vAlign w:val="bottom"/>
          </w:tcPr>
          <w:p w14:paraId="19281BFD" w14:textId="372830ED" w:rsidR="006D4580" w:rsidRPr="00A75D98" w:rsidRDefault="006D4580" w:rsidP="00AF44C6">
            <w:pPr>
              <w:rPr>
                <w:rFonts w:ascii="Arial" w:hAnsi="Arial" w:cs="Arial"/>
                <w:sz w:val="22"/>
                <w:szCs w:val="22"/>
                <w:lang w:eastAsia="en-GB"/>
              </w:rPr>
            </w:pPr>
            <w:r w:rsidRPr="00A75D98">
              <w:rPr>
                <w:rFonts w:ascii="Arial" w:hAnsi="Arial" w:cs="Arial"/>
                <w:b/>
                <w:bCs/>
                <w:sz w:val="22"/>
                <w:szCs w:val="22"/>
                <w:lang w:eastAsia="en-GB"/>
              </w:rPr>
              <w:t>Income tax rates (non-dividend income)</w:t>
            </w:r>
          </w:p>
        </w:tc>
      </w:tr>
      <w:tr w:rsidR="009B5FF5" w:rsidRPr="009B5FF5" w14:paraId="671DD0A0" w14:textId="77777777" w:rsidTr="00A75D98">
        <w:trPr>
          <w:trHeight w:val="255"/>
        </w:trPr>
        <w:tc>
          <w:tcPr>
            <w:tcW w:w="5289" w:type="dxa"/>
            <w:noWrap/>
            <w:vAlign w:val="bottom"/>
          </w:tcPr>
          <w:p w14:paraId="016CA150" w14:textId="71DC3563" w:rsidR="006D4580" w:rsidRPr="00A75D98" w:rsidRDefault="006D4580" w:rsidP="00AF44C6">
            <w:pPr>
              <w:rPr>
                <w:rFonts w:ascii="Arial" w:hAnsi="Arial" w:cs="Arial"/>
                <w:sz w:val="22"/>
                <w:szCs w:val="22"/>
                <w:lang w:eastAsia="en-GB"/>
              </w:rPr>
            </w:pPr>
            <w:r w:rsidRPr="00A75D98">
              <w:rPr>
                <w:rFonts w:ascii="Arial" w:hAnsi="Arial" w:cs="Arial"/>
                <w:sz w:val="22"/>
                <w:szCs w:val="22"/>
                <w:lang w:eastAsia="en-GB"/>
              </w:rPr>
              <w:t xml:space="preserve">0% lower rate tax </w:t>
            </w:r>
            <w:r w:rsidR="00826DC4" w:rsidRPr="00A75D98">
              <w:rPr>
                <w:rFonts w:ascii="Arial" w:hAnsi="Arial" w:cs="Arial"/>
                <w:sz w:val="22"/>
                <w:szCs w:val="22"/>
                <w:lang w:eastAsia="en-GB"/>
              </w:rPr>
              <w:t>–</w:t>
            </w:r>
            <w:r w:rsidRPr="00A75D98">
              <w:rPr>
                <w:rFonts w:ascii="Arial" w:hAnsi="Arial" w:cs="Arial"/>
                <w:sz w:val="22"/>
                <w:szCs w:val="22"/>
                <w:lang w:eastAsia="en-GB"/>
              </w:rPr>
              <w:t xml:space="preserve"> savings rate only</w:t>
            </w:r>
          </w:p>
        </w:tc>
        <w:tc>
          <w:tcPr>
            <w:tcW w:w="2410" w:type="dxa"/>
            <w:noWrap/>
            <w:vAlign w:val="bottom"/>
          </w:tcPr>
          <w:p w14:paraId="3F752FA3" w14:textId="7C6E3C97" w:rsidR="006D4580" w:rsidRPr="00A75D98" w:rsidRDefault="5003B897" w:rsidP="00AF44C6">
            <w:pPr>
              <w:jc w:val="center"/>
              <w:rPr>
                <w:rFonts w:ascii="Arial" w:hAnsi="Arial" w:cs="Arial"/>
                <w:sz w:val="22"/>
                <w:szCs w:val="22"/>
              </w:rPr>
            </w:pPr>
            <w:r w:rsidRPr="00A75D98">
              <w:rPr>
                <w:rFonts w:ascii="Arial" w:hAnsi="Arial" w:cs="Arial"/>
                <w:sz w:val="22"/>
                <w:szCs w:val="22"/>
              </w:rPr>
              <w:t xml:space="preserve">Up to </w:t>
            </w:r>
            <w:r w:rsidR="00A75D98" w:rsidRPr="00A75D98">
              <w:rPr>
                <w:rFonts w:ascii="Arial" w:hAnsi="Arial" w:cs="Arial"/>
                <w:sz w:val="22"/>
                <w:szCs w:val="22"/>
              </w:rPr>
              <w:t>£</w:t>
            </w:r>
            <w:r w:rsidRPr="00A75D98">
              <w:rPr>
                <w:rFonts w:ascii="Arial" w:hAnsi="Arial" w:cs="Arial"/>
                <w:sz w:val="22"/>
                <w:szCs w:val="22"/>
              </w:rPr>
              <w:t>5,000</w:t>
            </w:r>
          </w:p>
        </w:tc>
        <w:tc>
          <w:tcPr>
            <w:tcW w:w="2241" w:type="dxa"/>
            <w:noWrap/>
            <w:vAlign w:val="bottom"/>
          </w:tcPr>
          <w:p w14:paraId="0DB15530" w14:textId="2C175B01" w:rsidR="006D4580" w:rsidRPr="00A75D98" w:rsidRDefault="004F7482" w:rsidP="00AF44C6">
            <w:pPr>
              <w:jc w:val="center"/>
              <w:rPr>
                <w:rFonts w:ascii="Arial" w:hAnsi="Arial" w:cs="Arial"/>
                <w:sz w:val="22"/>
                <w:szCs w:val="22"/>
              </w:rPr>
            </w:pPr>
            <w:r w:rsidRPr="00A75D98">
              <w:rPr>
                <w:rFonts w:ascii="Arial" w:hAnsi="Arial" w:cs="Arial"/>
                <w:sz w:val="22"/>
                <w:szCs w:val="22"/>
              </w:rPr>
              <w:t xml:space="preserve">Up to </w:t>
            </w:r>
            <w:r w:rsidR="00A75D98" w:rsidRPr="00A75D98">
              <w:rPr>
                <w:rFonts w:ascii="Arial" w:hAnsi="Arial" w:cs="Arial"/>
                <w:sz w:val="22"/>
                <w:szCs w:val="22"/>
              </w:rPr>
              <w:t>£</w:t>
            </w:r>
            <w:r w:rsidRPr="00A75D98">
              <w:rPr>
                <w:rFonts w:ascii="Arial" w:hAnsi="Arial" w:cs="Arial"/>
                <w:sz w:val="22"/>
                <w:szCs w:val="22"/>
              </w:rPr>
              <w:t>5,000</w:t>
            </w:r>
          </w:p>
        </w:tc>
      </w:tr>
      <w:tr w:rsidR="009B5FF5" w:rsidRPr="009B5FF5" w14:paraId="205C5681" w14:textId="77777777" w:rsidTr="00A75D98">
        <w:trPr>
          <w:trHeight w:val="255"/>
        </w:trPr>
        <w:tc>
          <w:tcPr>
            <w:tcW w:w="5289" w:type="dxa"/>
            <w:noWrap/>
            <w:vAlign w:val="bottom"/>
          </w:tcPr>
          <w:p w14:paraId="7DD9812F" w14:textId="77777777" w:rsidR="006D4580" w:rsidRPr="00A75D98" w:rsidRDefault="006D4580" w:rsidP="00AF44C6">
            <w:pPr>
              <w:rPr>
                <w:rFonts w:ascii="Arial" w:hAnsi="Arial" w:cs="Arial"/>
                <w:sz w:val="22"/>
                <w:szCs w:val="22"/>
                <w:lang w:eastAsia="en-GB"/>
              </w:rPr>
            </w:pPr>
            <w:r w:rsidRPr="00A75D98">
              <w:rPr>
                <w:rFonts w:ascii="Arial" w:hAnsi="Arial" w:cs="Arial"/>
                <w:sz w:val="22"/>
                <w:szCs w:val="22"/>
                <w:lang w:eastAsia="en-GB"/>
              </w:rPr>
              <w:t>20% basic rate tax</w:t>
            </w:r>
          </w:p>
        </w:tc>
        <w:tc>
          <w:tcPr>
            <w:tcW w:w="2410" w:type="dxa"/>
            <w:noWrap/>
            <w:vAlign w:val="bottom"/>
          </w:tcPr>
          <w:p w14:paraId="1C3DD9F8" w14:textId="1A5F3D16" w:rsidR="006D4580" w:rsidRPr="00A75D98" w:rsidRDefault="00A75D98" w:rsidP="00932D05">
            <w:pPr>
              <w:jc w:val="center"/>
              <w:rPr>
                <w:rFonts w:ascii="Arial" w:hAnsi="Arial" w:cs="Arial"/>
                <w:sz w:val="22"/>
                <w:szCs w:val="22"/>
              </w:rPr>
            </w:pPr>
            <w:r w:rsidRPr="00A75D98">
              <w:rPr>
                <w:rFonts w:ascii="Arial" w:hAnsi="Arial" w:cs="Arial"/>
                <w:sz w:val="22"/>
                <w:szCs w:val="22"/>
              </w:rPr>
              <w:t>£</w:t>
            </w:r>
            <w:r w:rsidR="003E15DD" w:rsidRPr="00A75D98">
              <w:rPr>
                <w:rFonts w:ascii="Arial" w:hAnsi="Arial" w:cs="Arial"/>
                <w:sz w:val="22"/>
                <w:szCs w:val="22"/>
              </w:rPr>
              <w:t xml:space="preserve">12,571 to </w:t>
            </w:r>
            <w:r w:rsidRPr="00A75D98">
              <w:rPr>
                <w:rFonts w:ascii="Arial" w:hAnsi="Arial" w:cs="Arial"/>
                <w:sz w:val="22"/>
                <w:szCs w:val="22"/>
              </w:rPr>
              <w:t>£</w:t>
            </w:r>
            <w:r w:rsidR="003E15DD" w:rsidRPr="00A75D98">
              <w:rPr>
                <w:rFonts w:ascii="Arial" w:hAnsi="Arial" w:cs="Arial"/>
                <w:sz w:val="22"/>
                <w:szCs w:val="22"/>
              </w:rPr>
              <w:t>50,270</w:t>
            </w:r>
          </w:p>
        </w:tc>
        <w:tc>
          <w:tcPr>
            <w:tcW w:w="2241" w:type="dxa"/>
            <w:noWrap/>
            <w:vAlign w:val="bottom"/>
          </w:tcPr>
          <w:p w14:paraId="0BDFB62B" w14:textId="178886B6" w:rsidR="006D4580" w:rsidRPr="00A75D98" w:rsidRDefault="00A75D98" w:rsidP="00434DC2">
            <w:pPr>
              <w:jc w:val="center"/>
              <w:rPr>
                <w:rFonts w:ascii="Arial" w:hAnsi="Arial" w:cs="Arial"/>
                <w:sz w:val="22"/>
                <w:szCs w:val="22"/>
              </w:rPr>
            </w:pPr>
            <w:r w:rsidRPr="00A75D98">
              <w:rPr>
                <w:rFonts w:ascii="Arial" w:hAnsi="Arial" w:cs="Arial"/>
                <w:sz w:val="22"/>
                <w:szCs w:val="22"/>
              </w:rPr>
              <w:t>£</w:t>
            </w:r>
            <w:r w:rsidR="004F7482" w:rsidRPr="00A75D98">
              <w:rPr>
                <w:rFonts w:ascii="Arial" w:hAnsi="Arial" w:cs="Arial"/>
                <w:sz w:val="22"/>
                <w:szCs w:val="22"/>
              </w:rPr>
              <w:t>12,5</w:t>
            </w:r>
            <w:r w:rsidRPr="00A75D98">
              <w:rPr>
                <w:rFonts w:ascii="Arial" w:hAnsi="Arial" w:cs="Arial"/>
                <w:sz w:val="22"/>
                <w:szCs w:val="22"/>
              </w:rPr>
              <w:t>7</w:t>
            </w:r>
            <w:r w:rsidR="004F7482" w:rsidRPr="00A75D98">
              <w:rPr>
                <w:rFonts w:ascii="Arial" w:hAnsi="Arial" w:cs="Arial"/>
                <w:sz w:val="22"/>
                <w:szCs w:val="22"/>
              </w:rPr>
              <w:t xml:space="preserve">1 to </w:t>
            </w:r>
            <w:r w:rsidRPr="00A75D98">
              <w:rPr>
                <w:rFonts w:ascii="Arial" w:hAnsi="Arial" w:cs="Arial"/>
                <w:sz w:val="22"/>
                <w:szCs w:val="22"/>
              </w:rPr>
              <w:t>£</w:t>
            </w:r>
            <w:r w:rsidR="004F7482" w:rsidRPr="00A75D98">
              <w:rPr>
                <w:rFonts w:ascii="Arial" w:hAnsi="Arial" w:cs="Arial"/>
                <w:sz w:val="22"/>
                <w:szCs w:val="22"/>
              </w:rPr>
              <w:t>50,</w:t>
            </w:r>
            <w:r w:rsidR="009625C7">
              <w:rPr>
                <w:rFonts w:ascii="Arial" w:hAnsi="Arial" w:cs="Arial"/>
                <w:sz w:val="22"/>
                <w:szCs w:val="22"/>
              </w:rPr>
              <w:t>27</w:t>
            </w:r>
            <w:r w:rsidR="004F7482" w:rsidRPr="00A75D98">
              <w:rPr>
                <w:rFonts w:ascii="Arial" w:hAnsi="Arial" w:cs="Arial"/>
                <w:sz w:val="22"/>
                <w:szCs w:val="22"/>
              </w:rPr>
              <w:t>0</w:t>
            </w:r>
          </w:p>
        </w:tc>
      </w:tr>
      <w:tr w:rsidR="009B5FF5" w:rsidRPr="009B5FF5" w14:paraId="270009C1" w14:textId="77777777" w:rsidTr="00A75D98">
        <w:trPr>
          <w:trHeight w:val="255"/>
        </w:trPr>
        <w:tc>
          <w:tcPr>
            <w:tcW w:w="5289" w:type="dxa"/>
            <w:noWrap/>
            <w:vAlign w:val="bottom"/>
          </w:tcPr>
          <w:p w14:paraId="116F6643" w14:textId="77777777" w:rsidR="006D4580" w:rsidRPr="00A75D98" w:rsidRDefault="006D4580" w:rsidP="00AF44C6">
            <w:pPr>
              <w:rPr>
                <w:rFonts w:ascii="Arial" w:hAnsi="Arial" w:cs="Arial"/>
                <w:sz w:val="22"/>
                <w:szCs w:val="22"/>
                <w:lang w:eastAsia="en-GB"/>
              </w:rPr>
            </w:pPr>
            <w:r w:rsidRPr="00A75D98">
              <w:rPr>
                <w:rFonts w:ascii="Arial" w:hAnsi="Arial" w:cs="Arial"/>
                <w:sz w:val="22"/>
                <w:szCs w:val="22"/>
                <w:lang w:eastAsia="en-GB"/>
              </w:rPr>
              <w:t>40% higher rate tax</w:t>
            </w:r>
          </w:p>
        </w:tc>
        <w:tc>
          <w:tcPr>
            <w:tcW w:w="2410" w:type="dxa"/>
            <w:noWrap/>
            <w:vAlign w:val="bottom"/>
          </w:tcPr>
          <w:p w14:paraId="79B2D22E" w14:textId="06FD1F8E" w:rsidR="006D4580" w:rsidRPr="00A75D98" w:rsidRDefault="00A75D98" w:rsidP="00AF44C6">
            <w:pPr>
              <w:jc w:val="center"/>
              <w:rPr>
                <w:rFonts w:ascii="Arial" w:hAnsi="Arial" w:cs="Arial"/>
                <w:sz w:val="22"/>
                <w:szCs w:val="22"/>
              </w:rPr>
            </w:pPr>
            <w:r w:rsidRPr="00A75D98">
              <w:rPr>
                <w:rFonts w:ascii="Arial" w:hAnsi="Arial" w:cs="Arial"/>
                <w:sz w:val="22"/>
                <w:szCs w:val="22"/>
              </w:rPr>
              <w:t>£</w:t>
            </w:r>
            <w:r w:rsidR="003E15DD" w:rsidRPr="00A75D98">
              <w:rPr>
                <w:rFonts w:ascii="Arial" w:hAnsi="Arial" w:cs="Arial"/>
                <w:sz w:val="22"/>
                <w:szCs w:val="22"/>
              </w:rPr>
              <w:t xml:space="preserve">50,271 to </w:t>
            </w:r>
            <w:r w:rsidRPr="00A75D98">
              <w:rPr>
                <w:rFonts w:ascii="Arial" w:hAnsi="Arial" w:cs="Arial"/>
                <w:sz w:val="22"/>
                <w:szCs w:val="22"/>
              </w:rPr>
              <w:t>£</w:t>
            </w:r>
            <w:r w:rsidR="00FB42C1" w:rsidRPr="00A75D98">
              <w:rPr>
                <w:rFonts w:ascii="Arial" w:hAnsi="Arial" w:cs="Arial"/>
                <w:sz w:val="22"/>
                <w:szCs w:val="22"/>
              </w:rPr>
              <w:t>150,000</w:t>
            </w:r>
          </w:p>
        </w:tc>
        <w:tc>
          <w:tcPr>
            <w:tcW w:w="2241" w:type="dxa"/>
            <w:noWrap/>
            <w:vAlign w:val="bottom"/>
          </w:tcPr>
          <w:p w14:paraId="5C36379B" w14:textId="44735C16" w:rsidR="006D4580" w:rsidRPr="00A75D98" w:rsidRDefault="00A75D98" w:rsidP="00AF44C6">
            <w:pPr>
              <w:jc w:val="center"/>
              <w:rPr>
                <w:rFonts w:ascii="Arial" w:hAnsi="Arial" w:cs="Arial"/>
                <w:sz w:val="22"/>
                <w:szCs w:val="22"/>
              </w:rPr>
            </w:pPr>
            <w:r w:rsidRPr="00A75D98">
              <w:rPr>
                <w:rFonts w:ascii="Arial" w:hAnsi="Arial" w:cs="Arial"/>
                <w:sz w:val="22"/>
                <w:szCs w:val="22"/>
              </w:rPr>
              <w:t>£</w:t>
            </w:r>
            <w:r w:rsidR="004F7482" w:rsidRPr="00A75D98">
              <w:rPr>
                <w:rFonts w:ascii="Arial" w:hAnsi="Arial" w:cs="Arial"/>
                <w:sz w:val="22"/>
                <w:szCs w:val="22"/>
              </w:rPr>
              <w:t>50,</w:t>
            </w:r>
            <w:r w:rsidRPr="00A75D98">
              <w:rPr>
                <w:rFonts w:ascii="Arial" w:hAnsi="Arial" w:cs="Arial"/>
                <w:sz w:val="22"/>
                <w:szCs w:val="22"/>
              </w:rPr>
              <w:t>27</w:t>
            </w:r>
            <w:r w:rsidR="004F7482" w:rsidRPr="00A75D98">
              <w:rPr>
                <w:rFonts w:ascii="Arial" w:hAnsi="Arial" w:cs="Arial"/>
                <w:sz w:val="22"/>
                <w:szCs w:val="22"/>
              </w:rPr>
              <w:t xml:space="preserve">1 to </w:t>
            </w:r>
            <w:r w:rsidRPr="00A75D98">
              <w:rPr>
                <w:rFonts w:ascii="Arial" w:hAnsi="Arial" w:cs="Arial"/>
                <w:sz w:val="22"/>
                <w:szCs w:val="22"/>
              </w:rPr>
              <w:t>£</w:t>
            </w:r>
            <w:r w:rsidR="004F7482" w:rsidRPr="00A75D98">
              <w:rPr>
                <w:rFonts w:ascii="Arial" w:hAnsi="Arial" w:cs="Arial"/>
                <w:sz w:val="22"/>
                <w:szCs w:val="22"/>
              </w:rPr>
              <w:t>150,000</w:t>
            </w:r>
          </w:p>
        </w:tc>
      </w:tr>
      <w:tr w:rsidR="009B5FF5" w:rsidRPr="009B5FF5" w14:paraId="27FC6428" w14:textId="77777777" w:rsidTr="00A75D98">
        <w:trPr>
          <w:trHeight w:val="255"/>
        </w:trPr>
        <w:tc>
          <w:tcPr>
            <w:tcW w:w="5289" w:type="dxa"/>
            <w:noWrap/>
            <w:vAlign w:val="bottom"/>
          </w:tcPr>
          <w:p w14:paraId="4782FFCA" w14:textId="77777777" w:rsidR="006D4580" w:rsidRPr="00A75D98" w:rsidRDefault="006D4580" w:rsidP="00AF44C6">
            <w:pPr>
              <w:rPr>
                <w:rFonts w:ascii="Arial" w:hAnsi="Arial" w:cs="Arial"/>
                <w:sz w:val="22"/>
                <w:szCs w:val="22"/>
                <w:lang w:eastAsia="en-GB"/>
              </w:rPr>
            </w:pPr>
            <w:r w:rsidRPr="00A75D98">
              <w:rPr>
                <w:rFonts w:ascii="Arial" w:hAnsi="Arial" w:cs="Arial"/>
                <w:sz w:val="22"/>
                <w:szCs w:val="22"/>
                <w:lang w:eastAsia="en-GB"/>
              </w:rPr>
              <w:t>45% additional rate tax</w:t>
            </w:r>
          </w:p>
        </w:tc>
        <w:tc>
          <w:tcPr>
            <w:tcW w:w="2410" w:type="dxa"/>
            <w:noWrap/>
            <w:vAlign w:val="bottom"/>
          </w:tcPr>
          <w:p w14:paraId="079BB796" w14:textId="37B048ED" w:rsidR="006D4580" w:rsidRPr="00A75D98" w:rsidRDefault="00FB42C1" w:rsidP="00AF44C6">
            <w:pPr>
              <w:jc w:val="center"/>
              <w:rPr>
                <w:rFonts w:ascii="Arial" w:hAnsi="Arial" w:cs="Arial"/>
                <w:sz w:val="22"/>
                <w:szCs w:val="22"/>
              </w:rPr>
            </w:pPr>
            <w:r w:rsidRPr="00A75D98">
              <w:rPr>
                <w:rFonts w:ascii="Arial" w:hAnsi="Arial" w:cs="Arial"/>
                <w:sz w:val="22"/>
                <w:szCs w:val="22"/>
              </w:rPr>
              <w:t xml:space="preserve">Above </w:t>
            </w:r>
            <w:r w:rsidR="00A75D98" w:rsidRPr="00A75D98">
              <w:rPr>
                <w:rFonts w:ascii="Arial" w:hAnsi="Arial" w:cs="Arial"/>
                <w:sz w:val="22"/>
                <w:szCs w:val="22"/>
              </w:rPr>
              <w:t>£</w:t>
            </w:r>
            <w:r w:rsidRPr="00A75D98">
              <w:rPr>
                <w:rFonts w:ascii="Arial" w:hAnsi="Arial" w:cs="Arial"/>
                <w:sz w:val="22"/>
                <w:szCs w:val="22"/>
              </w:rPr>
              <w:t>150,000</w:t>
            </w:r>
          </w:p>
        </w:tc>
        <w:tc>
          <w:tcPr>
            <w:tcW w:w="2241" w:type="dxa"/>
            <w:noWrap/>
            <w:vAlign w:val="bottom"/>
          </w:tcPr>
          <w:p w14:paraId="7BDEA8BD" w14:textId="18A09654" w:rsidR="006D4580" w:rsidRPr="00A75D98" w:rsidRDefault="004F7482" w:rsidP="00AF44C6">
            <w:pPr>
              <w:jc w:val="center"/>
              <w:rPr>
                <w:rFonts w:ascii="Arial" w:hAnsi="Arial" w:cs="Arial"/>
                <w:sz w:val="22"/>
                <w:szCs w:val="22"/>
              </w:rPr>
            </w:pPr>
            <w:r w:rsidRPr="00A75D98">
              <w:rPr>
                <w:rFonts w:ascii="Arial" w:hAnsi="Arial" w:cs="Arial"/>
                <w:sz w:val="22"/>
                <w:szCs w:val="22"/>
              </w:rPr>
              <w:t xml:space="preserve">Above </w:t>
            </w:r>
            <w:r w:rsidR="00A75D98" w:rsidRPr="00A75D98">
              <w:rPr>
                <w:rFonts w:ascii="Arial" w:hAnsi="Arial" w:cs="Arial"/>
                <w:sz w:val="22"/>
                <w:szCs w:val="22"/>
              </w:rPr>
              <w:t>£</w:t>
            </w:r>
            <w:r w:rsidRPr="00A75D98">
              <w:rPr>
                <w:rFonts w:ascii="Arial" w:hAnsi="Arial" w:cs="Arial"/>
                <w:sz w:val="22"/>
                <w:szCs w:val="22"/>
              </w:rPr>
              <w:t>150,000</w:t>
            </w:r>
          </w:p>
        </w:tc>
      </w:tr>
      <w:tr w:rsidR="009B5FF5" w:rsidRPr="009B5FF5" w14:paraId="100E37B6" w14:textId="77777777" w:rsidTr="00A75D98">
        <w:trPr>
          <w:trHeight w:val="255"/>
        </w:trPr>
        <w:tc>
          <w:tcPr>
            <w:tcW w:w="9940" w:type="dxa"/>
            <w:gridSpan w:val="3"/>
            <w:shd w:val="clear" w:color="auto" w:fill="D9D9D9" w:themeFill="background1" w:themeFillShade="D9"/>
            <w:noWrap/>
            <w:vAlign w:val="bottom"/>
          </w:tcPr>
          <w:p w14:paraId="189B1200" w14:textId="246A010E" w:rsidR="00AF44C6" w:rsidRPr="00A75D98" w:rsidRDefault="00AF44C6" w:rsidP="00AF44C6">
            <w:pPr>
              <w:rPr>
                <w:rFonts w:ascii="Arial" w:hAnsi="Arial" w:cs="Arial"/>
                <w:sz w:val="22"/>
                <w:szCs w:val="22"/>
                <w:lang w:eastAsia="en-GB"/>
              </w:rPr>
            </w:pPr>
            <w:r w:rsidRPr="00A75D98">
              <w:rPr>
                <w:rFonts w:ascii="Arial" w:hAnsi="Arial" w:cs="Arial"/>
                <w:b/>
                <w:bCs/>
                <w:sz w:val="22"/>
                <w:szCs w:val="22"/>
                <w:lang w:eastAsia="en-GB"/>
              </w:rPr>
              <w:t xml:space="preserve">Scottish </w:t>
            </w:r>
            <w:r w:rsidR="00826DC4" w:rsidRPr="00A75D98">
              <w:rPr>
                <w:rFonts w:ascii="Arial" w:hAnsi="Arial" w:cs="Arial"/>
                <w:b/>
                <w:bCs/>
                <w:sz w:val="22"/>
                <w:szCs w:val="22"/>
                <w:lang w:eastAsia="en-GB"/>
              </w:rPr>
              <w:t>i</w:t>
            </w:r>
            <w:r w:rsidRPr="00A75D98">
              <w:rPr>
                <w:rFonts w:ascii="Arial" w:hAnsi="Arial" w:cs="Arial"/>
                <w:b/>
                <w:bCs/>
                <w:sz w:val="22"/>
                <w:szCs w:val="22"/>
                <w:lang w:eastAsia="en-GB"/>
              </w:rPr>
              <w:t>ncome tax rates (non-dividend income)</w:t>
            </w:r>
            <w:r w:rsidR="00E75062">
              <w:rPr>
                <w:rFonts w:ascii="Arial" w:hAnsi="Arial" w:cs="Arial"/>
                <w:b/>
                <w:bCs/>
                <w:sz w:val="22"/>
                <w:szCs w:val="22"/>
                <w:lang w:eastAsia="en-GB"/>
              </w:rPr>
              <w:t xml:space="preserve"> *</w:t>
            </w:r>
          </w:p>
        </w:tc>
      </w:tr>
      <w:tr w:rsidR="009B5FF5" w:rsidRPr="009B5FF5" w14:paraId="548FCDE3" w14:textId="3F922173" w:rsidTr="00A75D98">
        <w:trPr>
          <w:trHeight w:val="255"/>
        </w:trPr>
        <w:tc>
          <w:tcPr>
            <w:tcW w:w="5289" w:type="dxa"/>
            <w:noWrap/>
            <w:vAlign w:val="bottom"/>
          </w:tcPr>
          <w:p w14:paraId="0C7BECF4" w14:textId="77777777" w:rsidR="00E27F90" w:rsidRPr="00A75D98" w:rsidRDefault="00E27F90" w:rsidP="00E27F90">
            <w:pPr>
              <w:rPr>
                <w:rFonts w:ascii="Arial" w:hAnsi="Arial" w:cs="Arial"/>
                <w:sz w:val="22"/>
                <w:szCs w:val="22"/>
                <w:lang w:eastAsia="en-GB"/>
              </w:rPr>
            </w:pPr>
            <w:r w:rsidRPr="00A75D98">
              <w:rPr>
                <w:rFonts w:ascii="Arial" w:hAnsi="Arial" w:cs="Arial"/>
                <w:sz w:val="22"/>
                <w:szCs w:val="22"/>
                <w:lang w:eastAsia="en-GB"/>
              </w:rPr>
              <w:t>19% starting rate tax</w:t>
            </w:r>
          </w:p>
        </w:tc>
        <w:tc>
          <w:tcPr>
            <w:tcW w:w="2410" w:type="dxa"/>
            <w:noWrap/>
            <w:vAlign w:val="bottom"/>
          </w:tcPr>
          <w:p w14:paraId="2C159F5F" w14:textId="0068FBBA" w:rsidR="00E27F90" w:rsidRPr="00A75D98" w:rsidRDefault="00A75D98" w:rsidP="00E27F90">
            <w:pPr>
              <w:jc w:val="center"/>
              <w:rPr>
                <w:rFonts w:ascii="Arial" w:hAnsi="Arial" w:cs="Arial"/>
                <w:i/>
                <w:iCs/>
                <w:sz w:val="22"/>
                <w:szCs w:val="22"/>
              </w:rPr>
            </w:pPr>
            <w:r w:rsidRPr="00A75D98">
              <w:rPr>
                <w:rFonts w:ascii="Arial" w:hAnsi="Arial" w:cs="Arial"/>
                <w:i/>
                <w:iCs/>
                <w:sz w:val="22"/>
                <w:szCs w:val="22"/>
              </w:rPr>
              <w:t>£</w:t>
            </w:r>
            <w:r w:rsidR="00FB42C1" w:rsidRPr="00A75D98">
              <w:rPr>
                <w:rFonts w:ascii="Arial" w:hAnsi="Arial" w:cs="Arial"/>
                <w:i/>
                <w:iCs/>
                <w:sz w:val="22"/>
                <w:szCs w:val="22"/>
              </w:rPr>
              <w:t xml:space="preserve">12,571 to </w:t>
            </w:r>
            <w:r w:rsidRPr="00A75D98">
              <w:rPr>
                <w:rFonts w:ascii="Arial" w:hAnsi="Arial" w:cs="Arial"/>
                <w:i/>
                <w:iCs/>
                <w:sz w:val="22"/>
                <w:szCs w:val="22"/>
              </w:rPr>
              <w:t>£</w:t>
            </w:r>
            <w:r w:rsidR="00FB42C1" w:rsidRPr="00A75D98">
              <w:rPr>
                <w:rFonts w:ascii="Arial" w:hAnsi="Arial" w:cs="Arial"/>
                <w:i/>
                <w:iCs/>
                <w:sz w:val="22"/>
                <w:szCs w:val="22"/>
              </w:rPr>
              <w:t>14,667</w:t>
            </w:r>
          </w:p>
        </w:tc>
        <w:tc>
          <w:tcPr>
            <w:tcW w:w="2241" w:type="dxa"/>
            <w:vAlign w:val="bottom"/>
          </w:tcPr>
          <w:p w14:paraId="6419FCE3" w14:textId="2B991D0C" w:rsidR="00E27F90" w:rsidRPr="00A75D98" w:rsidRDefault="00A75D98" w:rsidP="00AA41BF">
            <w:pPr>
              <w:jc w:val="center"/>
              <w:rPr>
                <w:rFonts w:ascii="Arial" w:hAnsi="Arial" w:cs="Arial"/>
                <w:sz w:val="22"/>
                <w:szCs w:val="22"/>
              </w:rPr>
            </w:pPr>
            <w:r w:rsidRPr="00A75D98">
              <w:rPr>
                <w:rFonts w:ascii="Arial" w:hAnsi="Arial" w:cs="Arial"/>
                <w:sz w:val="22"/>
                <w:szCs w:val="22"/>
              </w:rPr>
              <w:t>£12,571 to £14,667</w:t>
            </w:r>
          </w:p>
        </w:tc>
      </w:tr>
      <w:tr w:rsidR="009B5FF5" w:rsidRPr="009B5FF5" w14:paraId="5C573FCB" w14:textId="54076E93" w:rsidTr="00A75D98">
        <w:trPr>
          <w:trHeight w:val="255"/>
        </w:trPr>
        <w:tc>
          <w:tcPr>
            <w:tcW w:w="5289" w:type="dxa"/>
            <w:noWrap/>
            <w:vAlign w:val="bottom"/>
          </w:tcPr>
          <w:p w14:paraId="2BDA5728" w14:textId="77777777" w:rsidR="00E27F90" w:rsidRPr="00A75D98" w:rsidRDefault="00E27F90" w:rsidP="00E27F90">
            <w:pPr>
              <w:rPr>
                <w:rFonts w:ascii="Arial" w:hAnsi="Arial" w:cs="Arial"/>
                <w:sz w:val="22"/>
                <w:szCs w:val="22"/>
                <w:lang w:eastAsia="en-GB"/>
              </w:rPr>
            </w:pPr>
            <w:r w:rsidRPr="00A75D98">
              <w:rPr>
                <w:rFonts w:ascii="Arial" w:hAnsi="Arial" w:cs="Arial"/>
                <w:sz w:val="22"/>
                <w:szCs w:val="22"/>
                <w:lang w:eastAsia="en-GB"/>
              </w:rPr>
              <w:t>20% basic rate tax</w:t>
            </w:r>
          </w:p>
        </w:tc>
        <w:tc>
          <w:tcPr>
            <w:tcW w:w="2410" w:type="dxa"/>
            <w:noWrap/>
            <w:vAlign w:val="bottom"/>
          </w:tcPr>
          <w:p w14:paraId="435CDB56" w14:textId="1429BCC4" w:rsidR="00E27F90" w:rsidRPr="00A75D98" w:rsidRDefault="00A75D98" w:rsidP="00E27F90">
            <w:pPr>
              <w:jc w:val="center"/>
              <w:rPr>
                <w:rFonts w:ascii="Arial" w:hAnsi="Arial" w:cs="Arial"/>
                <w:i/>
                <w:iCs/>
                <w:sz w:val="22"/>
                <w:szCs w:val="22"/>
              </w:rPr>
            </w:pPr>
            <w:r w:rsidRPr="00A75D98">
              <w:rPr>
                <w:rFonts w:ascii="Arial" w:hAnsi="Arial" w:cs="Arial"/>
                <w:i/>
                <w:iCs/>
                <w:sz w:val="22"/>
                <w:szCs w:val="22"/>
              </w:rPr>
              <w:t>£</w:t>
            </w:r>
            <w:r w:rsidR="00FB42C1" w:rsidRPr="00A75D98">
              <w:rPr>
                <w:rFonts w:ascii="Arial" w:hAnsi="Arial" w:cs="Arial"/>
                <w:i/>
                <w:iCs/>
                <w:sz w:val="22"/>
                <w:szCs w:val="22"/>
              </w:rPr>
              <w:t xml:space="preserve">14,668 to </w:t>
            </w:r>
            <w:r w:rsidRPr="00A75D98">
              <w:rPr>
                <w:rFonts w:ascii="Arial" w:hAnsi="Arial" w:cs="Arial"/>
                <w:i/>
                <w:iCs/>
                <w:sz w:val="22"/>
                <w:szCs w:val="22"/>
              </w:rPr>
              <w:t>£</w:t>
            </w:r>
            <w:r w:rsidR="00FB42C1" w:rsidRPr="00A75D98">
              <w:rPr>
                <w:rFonts w:ascii="Arial" w:hAnsi="Arial" w:cs="Arial"/>
                <w:i/>
                <w:iCs/>
                <w:sz w:val="22"/>
                <w:szCs w:val="22"/>
              </w:rPr>
              <w:t>25,296</w:t>
            </w:r>
          </w:p>
        </w:tc>
        <w:tc>
          <w:tcPr>
            <w:tcW w:w="2241" w:type="dxa"/>
            <w:vAlign w:val="bottom"/>
          </w:tcPr>
          <w:p w14:paraId="3C29DCA3" w14:textId="7FCEE132" w:rsidR="00E27F90" w:rsidRPr="00A75D98" w:rsidRDefault="00A75D98" w:rsidP="00AA41BF">
            <w:pPr>
              <w:jc w:val="center"/>
              <w:rPr>
                <w:rFonts w:ascii="Arial" w:hAnsi="Arial" w:cs="Arial"/>
                <w:sz w:val="22"/>
                <w:szCs w:val="22"/>
              </w:rPr>
            </w:pPr>
            <w:r w:rsidRPr="00A75D98">
              <w:rPr>
                <w:rFonts w:ascii="Arial" w:hAnsi="Arial" w:cs="Arial"/>
                <w:sz w:val="22"/>
                <w:szCs w:val="22"/>
              </w:rPr>
              <w:t>£14,668 to £25,296</w:t>
            </w:r>
          </w:p>
        </w:tc>
      </w:tr>
      <w:tr w:rsidR="009B5FF5" w:rsidRPr="009B5FF5" w14:paraId="694BE653" w14:textId="2D022DE3" w:rsidTr="00A75D98">
        <w:trPr>
          <w:trHeight w:val="255"/>
        </w:trPr>
        <w:tc>
          <w:tcPr>
            <w:tcW w:w="5289" w:type="dxa"/>
            <w:noWrap/>
            <w:vAlign w:val="bottom"/>
          </w:tcPr>
          <w:p w14:paraId="1A372883" w14:textId="77777777" w:rsidR="00E27F90" w:rsidRPr="00A75D98" w:rsidRDefault="00E27F90" w:rsidP="00E27F90">
            <w:pPr>
              <w:rPr>
                <w:rFonts w:ascii="Arial" w:hAnsi="Arial" w:cs="Arial"/>
                <w:sz w:val="22"/>
                <w:szCs w:val="22"/>
                <w:lang w:eastAsia="en-GB"/>
              </w:rPr>
            </w:pPr>
            <w:r w:rsidRPr="00A75D98">
              <w:rPr>
                <w:rFonts w:ascii="Arial" w:hAnsi="Arial" w:cs="Arial"/>
                <w:sz w:val="22"/>
                <w:szCs w:val="22"/>
                <w:lang w:eastAsia="en-GB"/>
              </w:rPr>
              <w:t>21% intermediate rate tax</w:t>
            </w:r>
          </w:p>
        </w:tc>
        <w:tc>
          <w:tcPr>
            <w:tcW w:w="2410" w:type="dxa"/>
            <w:noWrap/>
            <w:vAlign w:val="bottom"/>
          </w:tcPr>
          <w:p w14:paraId="6BBDBEC1" w14:textId="1FEE536C" w:rsidR="00E27F90" w:rsidRPr="00A75D98" w:rsidRDefault="00A75D98" w:rsidP="00E27F90">
            <w:pPr>
              <w:jc w:val="center"/>
              <w:rPr>
                <w:rFonts w:ascii="Arial" w:hAnsi="Arial" w:cs="Arial"/>
                <w:i/>
                <w:iCs/>
                <w:sz w:val="22"/>
                <w:szCs w:val="22"/>
              </w:rPr>
            </w:pPr>
            <w:r w:rsidRPr="00A75D98">
              <w:rPr>
                <w:rFonts w:ascii="Arial" w:hAnsi="Arial" w:cs="Arial"/>
                <w:i/>
                <w:iCs/>
                <w:sz w:val="22"/>
                <w:szCs w:val="22"/>
              </w:rPr>
              <w:t>£</w:t>
            </w:r>
            <w:r w:rsidR="00307FAC" w:rsidRPr="00A75D98">
              <w:rPr>
                <w:rFonts w:ascii="Arial" w:hAnsi="Arial" w:cs="Arial"/>
                <w:i/>
                <w:iCs/>
                <w:sz w:val="22"/>
                <w:szCs w:val="22"/>
              </w:rPr>
              <w:t xml:space="preserve">25,297 to </w:t>
            </w:r>
            <w:r w:rsidRPr="00A75D98">
              <w:rPr>
                <w:rFonts w:ascii="Arial" w:hAnsi="Arial" w:cs="Arial"/>
                <w:i/>
                <w:iCs/>
                <w:sz w:val="22"/>
                <w:szCs w:val="22"/>
              </w:rPr>
              <w:t>£</w:t>
            </w:r>
            <w:r w:rsidR="00307FAC" w:rsidRPr="00A75D98">
              <w:rPr>
                <w:rFonts w:ascii="Arial" w:hAnsi="Arial" w:cs="Arial"/>
                <w:i/>
                <w:iCs/>
                <w:sz w:val="22"/>
                <w:szCs w:val="22"/>
              </w:rPr>
              <w:t>43,662</w:t>
            </w:r>
          </w:p>
        </w:tc>
        <w:tc>
          <w:tcPr>
            <w:tcW w:w="2241" w:type="dxa"/>
            <w:vAlign w:val="bottom"/>
          </w:tcPr>
          <w:p w14:paraId="47A71AAE" w14:textId="6DEF57CC" w:rsidR="00E27F90" w:rsidRPr="00A75D98" w:rsidRDefault="00A75D98" w:rsidP="00AA41BF">
            <w:pPr>
              <w:jc w:val="center"/>
              <w:rPr>
                <w:rFonts w:ascii="Arial" w:hAnsi="Arial" w:cs="Arial"/>
                <w:sz w:val="22"/>
                <w:szCs w:val="22"/>
              </w:rPr>
            </w:pPr>
            <w:r w:rsidRPr="00A75D98">
              <w:rPr>
                <w:rFonts w:ascii="Arial" w:hAnsi="Arial" w:cs="Arial"/>
                <w:sz w:val="22"/>
                <w:szCs w:val="22"/>
              </w:rPr>
              <w:t>£25,297 to £43,662</w:t>
            </w:r>
          </w:p>
        </w:tc>
      </w:tr>
      <w:tr w:rsidR="009B5FF5" w:rsidRPr="009B5FF5" w14:paraId="0F396EFE" w14:textId="24941059" w:rsidTr="00A75D98">
        <w:trPr>
          <w:trHeight w:val="255"/>
        </w:trPr>
        <w:tc>
          <w:tcPr>
            <w:tcW w:w="5289" w:type="dxa"/>
            <w:noWrap/>
            <w:vAlign w:val="bottom"/>
          </w:tcPr>
          <w:p w14:paraId="1FCFF3DE" w14:textId="77777777" w:rsidR="00E27F90" w:rsidRPr="00A75D98" w:rsidRDefault="00E27F90" w:rsidP="00E27F90">
            <w:pPr>
              <w:rPr>
                <w:rFonts w:ascii="Arial" w:hAnsi="Arial" w:cs="Arial"/>
                <w:sz w:val="22"/>
                <w:szCs w:val="22"/>
                <w:lang w:eastAsia="en-GB"/>
              </w:rPr>
            </w:pPr>
            <w:r w:rsidRPr="00A75D98">
              <w:rPr>
                <w:rFonts w:ascii="Arial" w:hAnsi="Arial" w:cs="Arial"/>
                <w:sz w:val="22"/>
                <w:szCs w:val="22"/>
                <w:lang w:eastAsia="en-GB"/>
              </w:rPr>
              <w:t>41% higher rate tax</w:t>
            </w:r>
          </w:p>
        </w:tc>
        <w:tc>
          <w:tcPr>
            <w:tcW w:w="2410" w:type="dxa"/>
            <w:noWrap/>
            <w:vAlign w:val="bottom"/>
          </w:tcPr>
          <w:p w14:paraId="1D4F88A2" w14:textId="310B579E" w:rsidR="00E27F90" w:rsidRPr="00A75D98" w:rsidRDefault="00A75D98" w:rsidP="00E27F90">
            <w:pPr>
              <w:jc w:val="center"/>
              <w:rPr>
                <w:rFonts w:ascii="Arial" w:hAnsi="Arial" w:cs="Arial"/>
                <w:i/>
                <w:iCs/>
                <w:sz w:val="22"/>
                <w:szCs w:val="22"/>
              </w:rPr>
            </w:pPr>
            <w:r w:rsidRPr="00A75D98">
              <w:rPr>
                <w:rFonts w:ascii="Arial" w:hAnsi="Arial" w:cs="Arial"/>
                <w:i/>
                <w:iCs/>
                <w:sz w:val="22"/>
                <w:szCs w:val="22"/>
              </w:rPr>
              <w:t>£</w:t>
            </w:r>
            <w:r w:rsidR="0033029D" w:rsidRPr="00A75D98">
              <w:rPr>
                <w:rFonts w:ascii="Arial" w:hAnsi="Arial" w:cs="Arial"/>
                <w:i/>
                <w:iCs/>
                <w:sz w:val="22"/>
                <w:szCs w:val="22"/>
              </w:rPr>
              <w:t xml:space="preserve">43,663 to </w:t>
            </w:r>
            <w:r w:rsidRPr="00A75D98">
              <w:rPr>
                <w:rFonts w:ascii="Arial" w:hAnsi="Arial" w:cs="Arial"/>
                <w:i/>
                <w:iCs/>
                <w:sz w:val="22"/>
                <w:szCs w:val="22"/>
              </w:rPr>
              <w:t>£</w:t>
            </w:r>
            <w:r w:rsidR="0033029D" w:rsidRPr="00A75D98">
              <w:rPr>
                <w:rFonts w:ascii="Arial" w:hAnsi="Arial" w:cs="Arial"/>
                <w:i/>
                <w:iCs/>
                <w:sz w:val="22"/>
                <w:szCs w:val="22"/>
              </w:rPr>
              <w:t>150,000</w:t>
            </w:r>
          </w:p>
        </w:tc>
        <w:tc>
          <w:tcPr>
            <w:tcW w:w="2241" w:type="dxa"/>
            <w:vAlign w:val="bottom"/>
          </w:tcPr>
          <w:p w14:paraId="5F43EE56" w14:textId="5B2FF0E1" w:rsidR="00E27F90" w:rsidRPr="00A75D98" w:rsidRDefault="00A75D98" w:rsidP="00AA41BF">
            <w:pPr>
              <w:jc w:val="center"/>
              <w:rPr>
                <w:rFonts w:ascii="Arial" w:hAnsi="Arial" w:cs="Arial"/>
                <w:sz w:val="22"/>
                <w:szCs w:val="22"/>
              </w:rPr>
            </w:pPr>
            <w:r w:rsidRPr="00A75D98">
              <w:rPr>
                <w:rFonts w:ascii="Arial" w:hAnsi="Arial" w:cs="Arial"/>
                <w:sz w:val="22"/>
                <w:szCs w:val="22"/>
              </w:rPr>
              <w:t>£43,663 to £150,000</w:t>
            </w:r>
          </w:p>
        </w:tc>
      </w:tr>
      <w:tr w:rsidR="009B5FF5" w:rsidRPr="009B5FF5" w14:paraId="596B8EB6" w14:textId="4C1B486F" w:rsidTr="00A75D98">
        <w:trPr>
          <w:trHeight w:val="255"/>
        </w:trPr>
        <w:tc>
          <w:tcPr>
            <w:tcW w:w="5289" w:type="dxa"/>
            <w:noWrap/>
            <w:vAlign w:val="bottom"/>
          </w:tcPr>
          <w:p w14:paraId="2963CC55" w14:textId="77777777" w:rsidR="00E27F90" w:rsidRPr="00A75D98" w:rsidRDefault="00E27F90" w:rsidP="00E27F90">
            <w:pPr>
              <w:rPr>
                <w:rFonts w:ascii="Arial" w:hAnsi="Arial" w:cs="Arial"/>
                <w:sz w:val="22"/>
                <w:szCs w:val="22"/>
                <w:lang w:eastAsia="en-GB"/>
              </w:rPr>
            </w:pPr>
            <w:r w:rsidRPr="00A75D98">
              <w:rPr>
                <w:rFonts w:ascii="Arial" w:hAnsi="Arial" w:cs="Arial"/>
                <w:sz w:val="22"/>
                <w:szCs w:val="22"/>
                <w:lang w:eastAsia="en-GB"/>
              </w:rPr>
              <w:t>46% top rate</w:t>
            </w:r>
          </w:p>
        </w:tc>
        <w:tc>
          <w:tcPr>
            <w:tcW w:w="2410" w:type="dxa"/>
            <w:noWrap/>
            <w:vAlign w:val="bottom"/>
          </w:tcPr>
          <w:p w14:paraId="1FBAB983" w14:textId="1B2D1667" w:rsidR="00E27F90" w:rsidRPr="00A75D98" w:rsidRDefault="0033029D" w:rsidP="00E27F90">
            <w:pPr>
              <w:jc w:val="center"/>
              <w:rPr>
                <w:rFonts w:ascii="Arial" w:hAnsi="Arial" w:cs="Arial"/>
                <w:i/>
                <w:iCs/>
                <w:sz w:val="22"/>
                <w:szCs w:val="22"/>
              </w:rPr>
            </w:pPr>
            <w:r w:rsidRPr="00A75D98">
              <w:rPr>
                <w:rFonts w:ascii="Arial" w:hAnsi="Arial" w:cs="Arial"/>
                <w:i/>
                <w:iCs/>
                <w:sz w:val="22"/>
                <w:szCs w:val="22"/>
              </w:rPr>
              <w:t xml:space="preserve">Above </w:t>
            </w:r>
            <w:r w:rsidR="00A75D98" w:rsidRPr="00A75D98">
              <w:rPr>
                <w:rFonts w:ascii="Arial" w:hAnsi="Arial" w:cs="Arial"/>
                <w:i/>
                <w:iCs/>
                <w:sz w:val="22"/>
                <w:szCs w:val="22"/>
              </w:rPr>
              <w:t>£</w:t>
            </w:r>
            <w:r w:rsidRPr="00A75D98">
              <w:rPr>
                <w:rFonts w:ascii="Arial" w:hAnsi="Arial" w:cs="Arial"/>
                <w:i/>
                <w:iCs/>
                <w:sz w:val="22"/>
                <w:szCs w:val="22"/>
              </w:rPr>
              <w:t>150,000</w:t>
            </w:r>
          </w:p>
        </w:tc>
        <w:tc>
          <w:tcPr>
            <w:tcW w:w="2241" w:type="dxa"/>
            <w:vAlign w:val="bottom"/>
          </w:tcPr>
          <w:p w14:paraId="4DB6B971" w14:textId="5938D116" w:rsidR="00E27F90" w:rsidRPr="00A75D98" w:rsidRDefault="004F7482" w:rsidP="00AA41BF">
            <w:pPr>
              <w:jc w:val="center"/>
              <w:rPr>
                <w:rFonts w:ascii="Arial" w:hAnsi="Arial" w:cs="Arial"/>
                <w:sz w:val="22"/>
                <w:szCs w:val="22"/>
              </w:rPr>
            </w:pPr>
            <w:r w:rsidRPr="00A75D98">
              <w:rPr>
                <w:rFonts w:ascii="Arial" w:hAnsi="Arial" w:cs="Arial"/>
                <w:sz w:val="22"/>
                <w:szCs w:val="22"/>
              </w:rPr>
              <w:t xml:space="preserve">Above </w:t>
            </w:r>
            <w:r w:rsidR="00A75D98" w:rsidRPr="00A75D98">
              <w:rPr>
                <w:rFonts w:ascii="Arial" w:hAnsi="Arial" w:cs="Arial"/>
                <w:sz w:val="22"/>
                <w:szCs w:val="22"/>
              </w:rPr>
              <w:t>£</w:t>
            </w:r>
            <w:r w:rsidRPr="00A75D98">
              <w:rPr>
                <w:rFonts w:ascii="Arial" w:hAnsi="Arial" w:cs="Arial"/>
                <w:sz w:val="22"/>
                <w:szCs w:val="22"/>
              </w:rPr>
              <w:t>150,000</w:t>
            </w:r>
          </w:p>
        </w:tc>
      </w:tr>
      <w:tr w:rsidR="009B5FF5" w:rsidRPr="009B5FF5" w14:paraId="7CEF2670" w14:textId="75F50C33" w:rsidTr="00A75D98">
        <w:trPr>
          <w:trHeight w:val="255"/>
        </w:trPr>
        <w:tc>
          <w:tcPr>
            <w:tcW w:w="9940" w:type="dxa"/>
            <w:gridSpan w:val="3"/>
            <w:shd w:val="clear" w:color="auto" w:fill="D9D9D9" w:themeFill="background1" w:themeFillShade="D9"/>
            <w:noWrap/>
            <w:vAlign w:val="bottom"/>
          </w:tcPr>
          <w:p w14:paraId="0E4EB7D5" w14:textId="77777777" w:rsidR="002E0D4D" w:rsidRPr="00A75D98" w:rsidRDefault="002E0D4D" w:rsidP="00E27F90">
            <w:pPr>
              <w:rPr>
                <w:rFonts w:ascii="Arial" w:hAnsi="Arial" w:cs="Arial"/>
                <w:sz w:val="22"/>
                <w:szCs w:val="22"/>
                <w:lang w:eastAsia="en-GB"/>
              </w:rPr>
            </w:pPr>
            <w:r w:rsidRPr="00A75D98">
              <w:rPr>
                <w:rFonts w:ascii="Arial" w:hAnsi="Arial" w:cs="Arial"/>
                <w:b/>
                <w:bCs/>
                <w:sz w:val="22"/>
                <w:szCs w:val="22"/>
                <w:lang w:eastAsia="en-GB"/>
              </w:rPr>
              <w:t>Personal allowance</w:t>
            </w:r>
          </w:p>
        </w:tc>
      </w:tr>
      <w:tr w:rsidR="009B5FF5" w:rsidRPr="009B5FF5" w14:paraId="39EC9122" w14:textId="77777777" w:rsidTr="00A75D98">
        <w:trPr>
          <w:trHeight w:val="255"/>
        </w:trPr>
        <w:tc>
          <w:tcPr>
            <w:tcW w:w="5289" w:type="dxa"/>
            <w:noWrap/>
            <w:vAlign w:val="bottom"/>
          </w:tcPr>
          <w:p w14:paraId="7DA2A280" w14:textId="77777777" w:rsidR="00E27F90" w:rsidRPr="00A75D98" w:rsidRDefault="00E27F90" w:rsidP="00E27F90">
            <w:pPr>
              <w:rPr>
                <w:rFonts w:ascii="Arial" w:hAnsi="Arial" w:cs="Arial"/>
                <w:sz w:val="22"/>
                <w:szCs w:val="22"/>
              </w:rPr>
            </w:pPr>
            <w:r w:rsidRPr="00A75D98">
              <w:rPr>
                <w:rFonts w:ascii="Arial" w:hAnsi="Arial" w:cs="Arial"/>
                <w:sz w:val="22"/>
                <w:szCs w:val="22"/>
              </w:rPr>
              <w:t xml:space="preserve">Personal allowance </w:t>
            </w:r>
          </w:p>
        </w:tc>
        <w:tc>
          <w:tcPr>
            <w:tcW w:w="2410" w:type="dxa"/>
            <w:noWrap/>
            <w:vAlign w:val="bottom"/>
          </w:tcPr>
          <w:p w14:paraId="6341069A" w14:textId="73BA21AA" w:rsidR="00E27F90" w:rsidRPr="00A75D98" w:rsidRDefault="00A75D98" w:rsidP="00E27F90">
            <w:pPr>
              <w:jc w:val="center"/>
              <w:rPr>
                <w:rFonts w:ascii="Arial" w:hAnsi="Arial" w:cs="Arial"/>
                <w:sz w:val="22"/>
                <w:szCs w:val="22"/>
              </w:rPr>
            </w:pPr>
            <w:r w:rsidRPr="00A75D98">
              <w:rPr>
                <w:rFonts w:ascii="Arial" w:hAnsi="Arial" w:cs="Arial"/>
                <w:sz w:val="22"/>
                <w:szCs w:val="22"/>
              </w:rPr>
              <w:t>£</w:t>
            </w:r>
            <w:r w:rsidR="0033029D" w:rsidRPr="00A75D98">
              <w:rPr>
                <w:rFonts w:ascii="Arial" w:hAnsi="Arial" w:cs="Arial"/>
                <w:sz w:val="22"/>
                <w:szCs w:val="22"/>
              </w:rPr>
              <w:t>12,570</w:t>
            </w:r>
          </w:p>
        </w:tc>
        <w:tc>
          <w:tcPr>
            <w:tcW w:w="2241" w:type="dxa"/>
            <w:noWrap/>
            <w:vAlign w:val="bottom"/>
          </w:tcPr>
          <w:p w14:paraId="50A736C2" w14:textId="46E3FDC7" w:rsidR="00E27F90" w:rsidRPr="00A75D98" w:rsidRDefault="00A75D98" w:rsidP="00E27F90">
            <w:pPr>
              <w:jc w:val="center"/>
              <w:rPr>
                <w:rFonts w:ascii="Arial" w:hAnsi="Arial" w:cs="Arial"/>
                <w:sz w:val="22"/>
                <w:szCs w:val="22"/>
              </w:rPr>
            </w:pPr>
            <w:r w:rsidRPr="00A75D98">
              <w:rPr>
                <w:rFonts w:ascii="Arial" w:hAnsi="Arial" w:cs="Arial"/>
                <w:sz w:val="22"/>
                <w:szCs w:val="22"/>
              </w:rPr>
              <w:t>£</w:t>
            </w:r>
            <w:r w:rsidR="004F7482" w:rsidRPr="00A75D98">
              <w:rPr>
                <w:rFonts w:ascii="Arial" w:hAnsi="Arial" w:cs="Arial"/>
                <w:sz w:val="22"/>
                <w:szCs w:val="22"/>
              </w:rPr>
              <w:t>12,5</w:t>
            </w:r>
            <w:r w:rsidRPr="00A75D98">
              <w:rPr>
                <w:rFonts w:ascii="Arial" w:hAnsi="Arial" w:cs="Arial"/>
                <w:sz w:val="22"/>
                <w:szCs w:val="22"/>
              </w:rPr>
              <w:t>7</w:t>
            </w:r>
            <w:r w:rsidR="004F7482" w:rsidRPr="00A75D98">
              <w:rPr>
                <w:rFonts w:ascii="Arial" w:hAnsi="Arial" w:cs="Arial"/>
                <w:sz w:val="22"/>
                <w:szCs w:val="22"/>
              </w:rPr>
              <w:t>0</w:t>
            </w:r>
          </w:p>
        </w:tc>
      </w:tr>
      <w:tr w:rsidR="00E75062" w:rsidRPr="009B5FF5" w14:paraId="39A24028" w14:textId="77777777" w:rsidTr="00477100">
        <w:trPr>
          <w:trHeight w:val="255"/>
        </w:trPr>
        <w:tc>
          <w:tcPr>
            <w:tcW w:w="9940" w:type="dxa"/>
            <w:gridSpan w:val="3"/>
            <w:noWrap/>
            <w:vAlign w:val="bottom"/>
          </w:tcPr>
          <w:p w14:paraId="5F221591" w14:textId="086F1696" w:rsidR="00E75062" w:rsidRPr="00E75062" w:rsidRDefault="00E75062" w:rsidP="00E75062">
            <w:pPr>
              <w:rPr>
                <w:rFonts w:ascii="Arial" w:hAnsi="Arial" w:cs="Arial"/>
                <w:i/>
                <w:iCs/>
              </w:rPr>
            </w:pPr>
            <w:r w:rsidRPr="00E75062">
              <w:rPr>
                <w:rFonts w:ascii="Arial" w:hAnsi="Arial" w:cs="Arial"/>
                <w:b/>
                <w:bCs/>
                <w:i/>
                <w:iCs/>
                <w:sz w:val="22"/>
                <w:szCs w:val="22"/>
              </w:rPr>
              <w:t>*</w:t>
            </w:r>
            <w:r w:rsidRPr="00E75062">
              <w:rPr>
                <w:rFonts w:ascii="Arial" w:hAnsi="Arial" w:cs="Arial"/>
                <w:i/>
                <w:iCs/>
                <w:sz w:val="22"/>
                <w:szCs w:val="22"/>
              </w:rPr>
              <w:t xml:space="preserve"> Scottish income tax bands are subject to change in the Scottish Budget due to be published on 9 December 2021. The guide will be updated in due course.</w:t>
            </w:r>
          </w:p>
        </w:tc>
      </w:tr>
    </w:tbl>
    <w:p w14:paraId="30403359" w14:textId="77777777" w:rsidR="002E0D4D" w:rsidRDefault="002E0D4D" w:rsidP="004E53C7">
      <w:pPr>
        <w:rPr>
          <w:rFonts w:ascii="Arial" w:hAnsi="Arial" w:cs="Arial"/>
          <w:b/>
          <w:bCs/>
          <w:sz w:val="22"/>
          <w:szCs w:val="22"/>
        </w:rPr>
      </w:pPr>
    </w:p>
    <w:p w14:paraId="5C77874D" w14:textId="32E83511" w:rsidR="009B5FF5" w:rsidRPr="00214730" w:rsidRDefault="009B5FF5" w:rsidP="00214730">
      <w:pPr>
        <w:rPr>
          <w:rFonts w:ascii="Arial" w:hAnsi="Arial" w:cs="Arial"/>
          <w:b/>
          <w:bCs/>
          <w:sz w:val="22"/>
          <w:szCs w:val="22"/>
        </w:rPr>
      </w:pPr>
      <w:r w:rsidRPr="00214730">
        <w:rPr>
          <w:rFonts w:ascii="Arial" w:hAnsi="Arial" w:cs="Arial"/>
          <w:b/>
          <w:bCs/>
          <w:sz w:val="22"/>
          <w:szCs w:val="22"/>
        </w:rPr>
        <w:t xml:space="preserve">National </w:t>
      </w:r>
      <w:r w:rsidR="00214730">
        <w:rPr>
          <w:rFonts w:ascii="Arial" w:hAnsi="Arial" w:cs="Arial"/>
          <w:b/>
          <w:bCs/>
          <w:sz w:val="22"/>
          <w:szCs w:val="22"/>
        </w:rPr>
        <w:t>I</w:t>
      </w:r>
      <w:r w:rsidRPr="00214730">
        <w:rPr>
          <w:rFonts w:ascii="Arial" w:hAnsi="Arial" w:cs="Arial"/>
          <w:b/>
          <w:bCs/>
          <w:sz w:val="22"/>
          <w:szCs w:val="22"/>
        </w:rPr>
        <w:t>nsurance</w:t>
      </w:r>
    </w:p>
    <w:p w14:paraId="708E7B52" w14:textId="1ED0339F" w:rsidR="009B5FF5" w:rsidRDefault="009B5FF5" w:rsidP="00214730">
      <w:pPr>
        <w:rPr>
          <w:rFonts w:ascii="Arial" w:hAnsi="Arial" w:cs="Arial"/>
          <w:sz w:val="22"/>
          <w:szCs w:val="22"/>
        </w:rPr>
      </w:pPr>
      <w:r w:rsidRPr="00214730">
        <w:rPr>
          <w:rFonts w:ascii="Arial" w:hAnsi="Arial" w:cs="Arial"/>
          <w:sz w:val="22"/>
          <w:szCs w:val="22"/>
        </w:rPr>
        <w:t>From April 2022 the rate of National Insurance contributions across all classes (except class 2 and 3) will change for one year. The amount of the contribution will increase by 1.25% which will be spent on the NHS and social care across the UK.</w:t>
      </w:r>
    </w:p>
    <w:p w14:paraId="34591C53" w14:textId="77777777" w:rsidR="00214730" w:rsidRPr="00214730" w:rsidRDefault="00214730" w:rsidP="00214730">
      <w:pPr>
        <w:rPr>
          <w:rFonts w:ascii="Arial" w:hAnsi="Arial" w:cs="Arial"/>
          <w:sz w:val="22"/>
          <w:szCs w:val="22"/>
        </w:rPr>
      </w:pPr>
    </w:p>
    <w:p w14:paraId="251DFDA4" w14:textId="59A07384" w:rsidR="009B5FF5" w:rsidRDefault="009B5FF5" w:rsidP="00214730">
      <w:pPr>
        <w:rPr>
          <w:rFonts w:ascii="Arial" w:hAnsi="Arial" w:cs="Arial"/>
          <w:sz w:val="22"/>
          <w:szCs w:val="22"/>
        </w:rPr>
      </w:pPr>
      <w:r w:rsidRPr="00214730">
        <w:rPr>
          <w:rFonts w:ascii="Arial" w:hAnsi="Arial" w:cs="Arial"/>
          <w:sz w:val="22"/>
          <w:szCs w:val="22"/>
        </w:rPr>
        <w:t>This increase in National Insurance contributions will apply to:</w:t>
      </w:r>
    </w:p>
    <w:p w14:paraId="7B7C8736" w14:textId="77777777" w:rsidR="00214730" w:rsidRPr="00214730" w:rsidRDefault="00214730" w:rsidP="00214730">
      <w:pPr>
        <w:rPr>
          <w:rFonts w:ascii="Arial" w:hAnsi="Arial" w:cs="Arial"/>
          <w:sz w:val="22"/>
          <w:szCs w:val="22"/>
        </w:rPr>
      </w:pPr>
    </w:p>
    <w:p w14:paraId="0A983201" w14:textId="77777777" w:rsidR="009B5FF5" w:rsidRPr="00214730" w:rsidRDefault="009B5FF5" w:rsidP="00214730">
      <w:pPr>
        <w:numPr>
          <w:ilvl w:val="0"/>
          <w:numId w:val="29"/>
        </w:numPr>
        <w:rPr>
          <w:rFonts w:ascii="Arial" w:hAnsi="Arial" w:cs="Arial"/>
          <w:sz w:val="22"/>
          <w:szCs w:val="22"/>
        </w:rPr>
      </w:pPr>
      <w:r w:rsidRPr="00214730">
        <w:rPr>
          <w:rFonts w:ascii="Arial" w:hAnsi="Arial" w:cs="Arial"/>
          <w:sz w:val="22"/>
          <w:szCs w:val="22"/>
        </w:rPr>
        <w:lastRenderedPageBreak/>
        <w:t>Class 1 (paid by employees)</w:t>
      </w:r>
    </w:p>
    <w:p w14:paraId="0BC31766" w14:textId="77777777" w:rsidR="009B5FF5" w:rsidRPr="00214730" w:rsidRDefault="009B5FF5" w:rsidP="00214730">
      <w:pPr>
        <w:numPr>
          <w:ilvl w:val="0"/>
          <w:numId w:val="29"/>
        </w:numPr>
        <w:rPr>
          <w:rFonts w:ascii="Arial" w:hAnsi="Arial" w:cs="Arial"/>
          <w:sz w:val="22"/>
          <w:szCs w:val="22"/>
        </w:rPr>
      </w:pPr>
      <w:r w:rsidRPr="00214730">
        <w:rPr>
          <w:rFonts w:ascii="Arial" w:hAnsi="Arial" w:cs="Arial"/>
          <w:sz w:val="22"/>
          <w:szCs w:val="22"/>
        </w:rPr>
        <w:t>Class 4 (paid by self-employed)</w:t>
      </w:r>
    </w:p>
    <w:p w14:paraId="56655F06" w14:textId="735C10E9" w:rsidR="009B5FF5" w:rsidRPr="00214730" w:rsidRDefault="009B5FF5" w:rsidP="00214730">
      <w:pPr>
        <w:numPr>
          <w:ilvl w:val="0"/>
          <w:numId w:val="29"/>
        </w:numPr>
        <w:rPr>
          <w:rFonts w:ascii="Arial" w:hAnsi="Arial" w:cs="Arial"/>
          <w:sz w:val="22"/>
          <w:szCs w:val="22"/>
        </w:rPr>
      </w:pPr>
      <w:r w:rsidRPr="00214730">
        <w:rPr>
          <w:rFonts w:ascii="Arial" w:hAnsi="Arial" w:cs="Arial"/>
          <w:sz w:val="22"/>
          <w:szCs w:val="22"/>
        </w:rPr>
        <w:t>secondary Class 1, 1A and 1B (paid by employers)</w:t>
      </w:r>
      <w:r w:rsidR="00214730">
        <w:rPr>
          <w:rFonts w:ascii="Arial" w:hAnsi="Arial" w:cs="Arial"/>
          <w:sz w:val="22"/>
          <w:szCs w:val="22"/>
        </w:rPr>
        <w:t>.</w:t>
      </w:r>
    </w:p>
    <w:p w14:paraId="0FD211F7" w14:textId="77777777" w:rsidR="00214730" w:rsidRDefault="00214730" w:rsidP="00214730">
      <w:pPr>
        <w:rPr>
          <w:rFonts w:ascii="Arial" w:hAnsi="Arial" w:cs="Arial"/>
          <w:sz w:val="22"/>
          <w:szCs w:val="22"/>
        </w:rPr>
      </w:pPr>
    </w:p>
    <w:p w14:paraId="09FB4126" w14:textId="59788135" w:rsidR="009B5FF5" w:rsidRPr="00214730" w:rsidRDefault="009B5FF5" w:rsidP="00214730">
      <w:pPr>
        <w:rPr>
          <w:rFonts w:ascii="Arial" w:hAnsi="Arial" w:cs="Arial"/>
          <w:sz w:val="22"/>
          <w:szCs w:val="22"/>
        </w:rPr>
      </w:pPr>
      <w:r w:rsidRPr="00214730">
        <w:rPr>
          <w:rFonts w:ascii="Arial" w:hAnsi="Arial" w:cs="Arial"/>
          <w:sz w:val="22"/>
          <w:szCs w:val="22"/>
        </w:rPr>
        <w:t xml:space="preserve">Employers will only pay on earnings above the </w:t>
      </w:r>
      <w:r w:rsidR="00214730">
        <w:rPr>
          <w:rFonts w:ascii="Arial" w:hAnsi="Arial" w:cs="Arial"/>
          <w:sz w:val="22"/>
          <w:szCs w:val="22"/>
        </w:rPr>
        <w:t>s</w:t>
      </w:r>
      <w:r w:rsidRPr="00214730">
        <w:rPr>
          <w:rFonts w:ascii="Arial" w:hAnsi="Arial" w:cs="Arial"/>
          <w:sz w:val="22"/>
          <w:szCs w:val="22"/>
        </w:rPr>
        <w:t xml:space="preserve">econdary </w:t>
      </w:r>
      <w:r w:rsidR="00214730">
        <w:rPr>
          <w:rFonts w:ascii="Arial" w:hAnsi="Arial" w:cs="Arial"/>
          <w:sz w:val="22"/>
          <w:szCs w:val="22"/>
        </w:rPr>
        <w:t>t</w:t>
      </w:r>
      <w:r w:rsidRPr="00214730">
        <w:rPr>
          <w:rFonts w:ascii="Arial" w:hAnsi="Arial" w:cs="Arial"/>
          <w:sz w:val="22"/>
          <w:szCs w:val="22"/>
        </w:rPr>
        <w:t>hreshold.</w:t>
      </w:r>
    </w:p>
    <w:p w14:paraId="3A74A27A" w14:textId="77777777" w:rsidR="009B5FF5" w:rsidRDefault="009B5FF5" w:rsidP="009B5FF5"/>
    <w:tbl>
      <w:tblPr>
        <w:tblW w:w="10022" w:type="dxa"/>
        <w:tblLayout w:type="fixed"/>
        <w:tblLook w:val="04A0" w:firstRow="1" w:lastRow="0" w:firstColumn="1" w:lastColumn="0" w:noHBand="0" w:noVBand="1"/>
      </w:tblPr>
      <w:tblGrid>
        <w:gridCol w:w="6440"/>
        <w:gridCol w:w="1860"/>
        <w:gridCol w:w="1722"/>
      </w:tblGrid>
      <w:tr w:rsidR="009B5FF5" w:rsidRPr="009D7393" w14:paraId="161D8BF6" w14:textId="77777777" w:rsidTr="00B624B6">
        <w:trPr>
          <w:trHeight w:val="330"/>
        </w:trPr>
        <w:tc>
          <w:tcPr>
            <w:tcW w:w="6440" w:type="dxa"/>
            <w:tcBorders>
              <w:top w:val="single" w:sz="4" w:space="0" w:color="auto"/>
              <w:left w:val="single" w:sz="4" w:space="0" w:color="auto"/>
              <w:bottom w:val="single" w:sz="4" w:space="0" w:color="auto"/>
              <w:right w:val="single" w:sz="4" w:space="0" w:color="auto"/>
            </w:tcBorders>
            <w:noWrap/>
            <w:hideMark/>
          </w:tcPr>
          <w:p w14:paraId="7B1C9DA0" w14:textId="77777777" w:rsidR="009B5FF5" w:rsidRPr="009A6306" w:rsidRDefault="009B5FF5" w:rsidP="00B624B6">
            <w:pPr>
              <w:rPr>
                <w:rFonts w:ascii="Arial" w:hAnsi="Arial" w:cs="Arial"/>
                <w:b/>
                <w:bCs/>
                <w:sz w:val="20"/>
                <w:szCs w:val="20"/>
              </w:rPr>
            </w:pPr>
            <w:r w:rsidRPr="009A6306">
              <w:rPr>
                <w:rFonts w:ascii="Arial" w:hAnsi="Arial" w:cs="Arial"/>
                <w:b/>
                <w:bCs/>
                <w:sz w:val="20"/>
                <w:szCs w:val="20"/>
              </w:rPr>
              <w:t>NI Category</w:t>
            </w:r>
          </w:p>
        </w:tc>
        <w:tc>
          <w:tcPr>
            <w:tcW w:w="1860" w:type="dxa"/>
            <w:tcBorders>
              <w:top w:val="single" w:sz="4" w:space="0" w:color="auto"/>
              <w:left w:val="single" w:sz="4" w:space="0" w:color="auto"/>
              <w:bottom w:val="single" w:sz="4" w:space="0" w:color="auto"/>
              <w:right w:val="single" w:sz="4" w:space="0" w:color="auto"/>
            </w:tcBorders>
            <w:noWrap/>
            <w:hideMark/>
          </w:tcPr>
          <w:p w14:paraId="13D8008F" w14:textId="77777777" w:rsidR="009B5FF5" w:rsidRPr="00B20F4A" w:rsidRDefault="009B5FF5" w:rsidP="00B624B6">
            <w:pPr>
              <w:jc w:val="right"/>
              <w:rPr>
                <w:rFonts w:ascii="Arial" w:hAnsi="Arial" w:cs="Arial"/>
                <w:b/>
                <w:bCs/>
                <w:sz w:val="20"/>
                <w:szCs w:val="20"/>
              </w:rPr>
            </w:pPr>
            <w:r w:rsidRPr="00B20F4A">
              <w:rPr>
                <w:rFonts w:ascii="Arial" w:hAnsi="Arial" w:cs="Arial"/>
                <w:b/>
                <w:bCs/>
                <w:sz w:val="20"/>
                <w:szCs w:val="20"/>
              </w:rPr>
              <w:t>2022-23</w:t>
            </w:r>
          </w:p>
        </w:tc>
        <w:tc>
          <w:tcPr>
            <w:tcW w:w="1722" w:type="dxa"/>
            <w:tcBorders>
              <w:top w:val="single" w:sz="4" w:space="0" w:color="auto"/>
              <w:left w:val="single" w:sz="4" w:space="0" w:color="auto"/>
              <w:bottom w:val="single" w:sz="4" w:space="0" w:color="auto"/>
              <w:right w:val="single" w:sz="4" w:space="0" w:color="auto"/>
            </w:tcBorders>
            <w:noWrap/>
            <w:hideMark/>
          </w:tcPr>
          <w:p w14:paraId="609A2F83" w14:textId="77777777" w:rsidR="009B5FF5" w:rsidRPr="00B20F4A" w:rsidRDefault="009B5FF5" w:rsidP="00B624B6">
            <w:pPr>
              <w:jc w:val="right"/>
              <w:rPr>
                <w:rFonts w:ascii="Arial" w:hAnsi="Arial" w:cs="Arial"/>
                <w:b/>
                <w:bCs/>
                <w:sz w:val="20"/>
                <w:szCs w:val="20"/>
              </w:rPr>
            </w:pPr>
            <w:r w:rsidRPr="00B20F4A">
              <w:rPr>
                <w:rFonts w:ascii="Arial" w:hAnsi="Arial" w:cs="Arial"/>
                <w:b/>
                <w:bCs/>
                <w:sz w:val="20"/>
                <w:szCs w:val="20"/>
              </w:rPr>
              <w:t>2021-22</w:t>
            </w:r>
          </w:p>
        </w:tc>
      </w:tr>
      <w:tr w:rsidR="009B5FF5" w:rsidRPr="009D7393" w14:paraId="0CC81554" w14:textId="77777777" w:rsidTr="00B624B6">
        <w:trPr>
          <w:trHeight w:val="330"/>
        </w:trPr>
        <w:tc>
          <w:tcPr>
            <w:tcW w:w="6440" w:type="dxa"/>
            <w:tcBorders>
              <w:top w:val="single" w:sz="4" w:space="0" w:color="auto"/>
              <w:left w:val="single" w:sz="4" w:space="0" w:color="auto"/>
              <w:bottom w:val="single" w:sz="4" w:space="0" w:color="auto"/>
              <w:right w:val="single" w:sz="4" w:space="0" w:color="auto"/>
            </w:tcBorders>
            <w:noWrap/>
            <w:hideMark/>
          </w:tcPr>
          <w:p w14:paraId="068F07E8" w14:textId="77777777" w:rsidR="009B5FF5" w:rsidRPr="00C770C2" w:rsidRDefault="009B5FF5" w:rsidP="00B624B6">
            <w:pPr>
              <w:rPr>
                <w:rFonts w:ascii="Arial" w:hAnsi="Arial" w:cs="Arial"/>
                <w:sz w:val="20"/>
                <w:szCs w:val="20"/>
              </w:rPr>
            </w:pPr>
            <w:r w:rsidRPr="00C770C2">
              <w:rPr>
                <w:rFonts w:ascii="Arial" w:hAnsi="Arial" w:cs="Arial"/>
                <w:sz w:val="20"/>
                <w:szCs w:val="20"/>
              </w:rPr>
              <w:t>Employee’s primary class 1 rate between primary threshold and upper earnings limit</w:t>
            </w:r>
          </w:p>
        </w:tc>
        <w:tc>
          <w:tcPr>
            <w:tcW w:w="1860" w:type="dxa"/>
            <w:tcBorders>
              <w:top w:val="single" w:sz="4" w:space="0" w:color="auto"/>
              <w:left w:val="single" w:sz="4" w:space="0" w:color="auto"/>
              <w:bottom w:val="single" w:sz="4" w:space="0" w:color="auto"/>
              <w:right w:val="single" w:sz="4" w:space="0" w:color="auto"/>
            </w:tcBorders>
            <w:noWrap/>
            <w:hideMark/>
          </w:tcPr>
          <w:p w14:paraId="382EF0DA"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13.25%</w:t>
            </w:r>
          </w:p>
        </w:tc>
        <w:tc>
          <w:tcPr>
            <w:tcW w:w="1722" w:type="dxa"/>
            <w:tcBorders>
              <w:top w:val="single" w:sz="4" w:space="0" w:color="auto"/>
              <w:left w:val="single" w:sz="4" w:space="0" w:color="auto"/>
              <w:bottom w:val="single" w:sz="4" w:space="0" w:color="auto"/>
              <w:right w:val="single" w:sz="4" w:space="0" w:color="auto"/>
            </w:tcBorders>
            <w:noWrap/>
            <w:hideMark/>
          </w:tcPr>
          <w:p w14:paraId="7BDA9D0E"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12%</w:t>
            </w:r>
          </w:p>
        </w:tc>
      </w:tr>
      <w:tr w:rsidR="009B5FF5" w:rsidRPr="009D7393" w14:paraId="7FB0E86B" w14:textId="77777777" w:rsidTr="00B624B6">
        <w:trPr>
          <w:trHeight w:val="330"/>
        </w:trPr>
        <w:tc>
          <w:tcPr>
            <w:tcW w:w="6440" w:type="dxa"/>
            <w:tcBorders>
              <w:top w:val="single" w:sz="4" w:space="0" w:color="auto"/>
              <w:left w:val="single" w:sz="4" w:space="0" w:color="auto"/>
              <w:bottom w:val="single" w:sz="4" w:space="0" w:color="auto"/>
              <w:right w:val="single" w:sz="4" w:space="0" w:color="auto"/>
            </w:tcBorders>
            <w:noWrap/>
            <w:hideMark/>
          </w:tcPr>
          <w:p w14:paraId="72E6F913" w14:textId="77777777" w:rsidR="009B5FF5" w:rsidRPr="00C770C2" w:rsidRDefault="009B5FF5" w:rsidP="00B624B6">
            <w:pPr>
              <w:rPr>
                <w:rFonts w:ascii="Arial" w:hAnsi="Arial" w:cs="Arial"/>
                <w:sz w:val="20"/>
                <w:szCs w:val="20"/>
              </w:rPr>
            </w:pPr>
            <w:r w:rsidRPr="00C770C2">
              <w:rPr>
                <w:rFonts w:ascii="Arial" w:hAnsi="Arial" w:cs="Arial"/>
                <w:sz w:val="20"/>
                <w:szCs w:val="20"/>
              </w:rPr>
              <w:t>Employee’s primary class 1 rate above upper earnings limit</w:t>
            </w:r>
          </w:p>
        </w:tc>
        <w:tc>
          <w:tcPr>
            <w:tcW w:w="1860" w:type="dxa"/>
            <w:tcBorders>
              <w:top w:val="single" w:sz="4" w:space="0" w:color="auto"/>
              <w:left w:val="single" w:sz="4" w:space="0" w:color="auto"/>
              <w:bottom w:val="single" w:sz="4" w:space="0" w:color="auto"/>
              <w:right w:val="single" w:sz="4" w:space="0" w:color="auto"/>
            </w:tcBorders>
            <w:noWrap/>
            <w:hideMark/>
          </w:tcPr>
          <w:p w14:paraId="21EE4BA2"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3.25%</w:t>
            </w:r>
          </w:p>
        </w:tc>
        <w:tc>
          <w:tcPr>
            <w:tcW w:w="1722" w:type="dxa"/>
            <w:tcBorders>
              <w:top w:val="single" w:sz="4" w:space="0" w:color="auto"/>
              <w:left w:val="single" w:sz="4" w:space="0" w:color="auto"/>
              <w:bottom w:val="single" w:sz="4" w:space="0" w:color="auto"/>
              <w:right w:val="single" w:sz="4" w:space="0" w:color="auto"/>
            </w:tcBorders>
            <w:noWrap/>
            <w:hideMark/>
          </w:tcPr>
          <w:p w14:paraId="4DD857E6"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2%</w:t>
            </w:r>
          </w:p>
        </w:tc>
      </w:tr>
      <w:tr w:rsidR="009B5FF5" w:rsidRPr="009D7393" w14:paraId="54FBC37D" w14:textId="77777777" w:rsidTr="00B624B6">
        <w:trPr>
          <w:trHeight w:val="330"/>
        </w:trPr>
        <w:tc>
          <w:tcPr>
            <w:tcW w:w="6440" w:type="dxa"/>
            <w:tcBorders>
              <w:top w:val="single" w:sz="4" w:space="0" w:color="auto"/>
              <w:left w:val="single" w:sz="4" w:space="0" w:color="auto"/>
              <w:bottom w:val="single" w:sz="4" w:space="0" w:color="auto"/>
              <w:right w:val="single" w:sz="4" w:space="0" w:color="auto"/>
            </w:tcBorders>
            <w:noWrap/>
            <w:hideMark/>
          </w:tcPr>
          <w:p w14:paraId="40D15738" w14:textId="77777777" w:rsidR="009B5FF5" w:rsidRPr="00C770C2" w:rsidRDefault="009B5FF5" w:rsidP="00B624B6">
            <w:pPr>
              <w:rPr>
                <w:rFonts w:ascii="Arial" w:hAnsi="Arial" w:cs="Arial"/>
                <w:sz w:val="20"/>
                <w:szCs w:val="20"/>
              </w:rPr>
            </w:pPr>
            <w:r w:rsidRPr="00C770C2">
              <w:rPr>
                <w:rFonts w:ascii="Arial" w:hAnsi="Arial" w:cs="Arial"/>
                <w:sz w:val="20"/>
                <w:szCs w:val="20"/>
              </w:rPr>
              <w:t>Employer's secondary class 1 rate above secondary threshold</w:t>
            </w:r>
          </w:p>
        </w:tc>
        <w:tc>
          <w:tcPr>
            <w:tcW w:w="1860" w:type="dxa"/>
            <w:tcBorders>
              <w:top w:val="single" w:sz="4" w:space="0" w:color="auto"/>
              <w:left w:val="single" w:sz="4" w:space="0" w:color="auto"/>
              <w:bottom w:val="single" w:sz="4" w:space="0" w:color="auto"/>
              <w:right w:val="single" w:sz="4" w:space="0" w:color="auto"/>
            </w:tcBorders>
            <w:noWrap/>
            <w:hideMark/>
          </w:tcPr>
          <w:p w14:paraId="3A0BCD0C"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15.05%</w:t>
            </w:r>
          </w:p>
        </w:tc>
        <w:tc>
          <w:tcPr>
            <w:tcW w:w="1722" w:type="dxa"/>
            <w:tcBorders>
              <w:top w:val="single" w:sz="4" w:space="0" w:color="auto"/>
              <w:left w:val="single" w:sz="4" w:space="0" w:color="auto"/>
              <w:bottom w:val="single" w:sz="4" w:space="0" w:color="auto"/>
              <w:right w:val="single" w:sz="4" w:space="0" w:color="auto"/>
            </w:tcBorders>
            <w:noWrap/>
            <w:hideMark/>
          </w:tcPr>
          <w:p w14:paraId="71C606B2"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13.80%</w:t>
            </w:r>
          </w:p>
        </w:tc>
      </w:tr>
      <w:tr w:rsidR="009B5FF5" w:rsidRPr="009D7393" w14:paraId="61072504" w14:textId="77777777" w:rsidTr="00B624B6">
        <w:trPr>
          <w:trHeight w:val="330"/>
        </w:trPr>
        <w:tc>
          <w:tcPr>
            <w:tcW w:w="6440" w:type="dxa"/>
            <w:tcBorders>
              <w:top w:val="single" w:sz="4" w:space="0" w:color="auto"/>
              <w:left w:val="single" w:sz="4" w:space="0" w:color="auto"/>
              <w:bottom w:val="single" w:sz="4" w:space="0" w:color="auto"/>
              <w:right w:val="single" w:sz="4" w:space="0" w:color="auto"/>
            </w:tcBorders>
            <w:noWrap/>
          </w:tcPr>
          <w:p w14:paraId="598770BE" w14:textId="77777777" w:rsidR="009B5FF5" w:rsidRPr="00C770C2" w:rsidRDefault="009B5FF5" w:rsidP="00B624B6">
            <w:pPr>
              <w:rPr>
                <w:rFonts w:ascii="Arial" w:hAnsi="Arial" w:cs="Arial"/>
                <w:sz w:val="20"/>
                <w:szCs w:val="20"/>
              </w:rPr>
            </w:pPr>
            <w:r w:rsidRPr="00875631">
              <w:rPr>
                <w:rFonts w:ascii="Arial" w:hAnsi="Arial" w:cs="Arial"/>
                <w:sz w:val="20"/>
                <w:szCs w:val="20"/>
              </w:rPr>
              <w:t xml:space="preserve">Class 4 rate between lower profits limit and upper profits limit </w:t>
            </w:r>
          </w:p>
        </w:tc>
        <w:tc>
          <w:tcPr>
            <w:tcW w:w="1860" w:type="dxa"/>
            <w:tcBorders>
              <w:top w:val="single" w:sz="4" w:space="0" w:color="auto"/>
              <w:left w:val="single" w:sz="4" w:space="0" w:color="auto"/>
              <w:bottom w:val="single" w:sz="4" w:space="0" w:color="auto"/>
              <w:right w:val="single" w:sz="4" w:space="0" w:color="auto"/>
            </w:tcBorders>
            <w:noWrap/>
          </w:tcPr>
          <w:p w14:paraId="3BFD1D2A"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10.25%</w:t>
            </w:r>
          </w:p>
        </w:tc>
        <w:tc>
          <w:tcPr>
            <w:tcW w:w="1722" w:type="dxa"/>
            <w:tcBorders>
              <w:top w:val="single" w:sz="4" w:space="0" w:color="auto"/>
              <w:left w:val="single" w:sz="4" w:space="0" w:color="auto"/>
              <w:bottom w:val="single" w:sz="4" w:space="0" w:color="auto"/>
              <w:right w:val="single" w:sz="4" w:space="0" w:color="auto"/>
            </w:tcBorders>
            <w:noWrap/>
          </w:tcPr>
          <w:p w14:paraId="78549C8F"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9.00%</w:t>
            </w:r>
          </w:p>
        </w:tc>
      </w:tr>
      <w:tr w:rsidR="009B5FF5" w:rsidRPr="009D7393" w14:paraId="7420561D" w14:textId="77777777" w:rsidTr="00B624B6">
        <w:trPr>
          <w:trHeight w:val="330"/>
        </w:trPr>
        <w:tc>
          <w:tcPr>
            <w:tcW w:w="6440" w:type="dxa"/>
            <w:tcBorders>
              <w:top w:val="single" w:sz="4" w:space="0" w:color="auto"/>
              <w:left w:val="single" w:sz="4" w:space="0" w:color="auto"/>
              <w:bottom w:val="single" w:sz="4" w:space="0" w:color="auto"/>
              <w:right w:val="single" w:sz="4" w:space="0" w:color="auto"/>
            </w:tcBorders>
            <w:noWrap/>
          </w:tcPr>
          <w:p w14:paraId="6A23E916" w14:textId="77777777" w:rsidR="009B5FF5" w:rsidRPr="00C770C2" w:rsidRDefault="009B5FF5" w:rsidP="00B624B6">
            <w:pPr>
              <w:rPr>
                <w:rFonts w:ascii="Arial" w:hAnsi="Arial" w:cs="Arial"/>
                <w:sz w:val="20"/>
                <w:szCs w:val="20"/>
              </w:rPr>
            </w:pPr>
            <w:r w:rsidRPr="00875631">
              <w:rPr>
                <w:rFonts w:ascii="Arial" w:hAnsi="Arial" w:cs="Arial"/>
                <w:sz w:val="20"/>
                <w:szCs w:val="20"/>
              </w:rPr>
              <w:t>Class 4 rate above upper profits limit</w:t>
            </w:r>
          </w:p>
        </w:tc>
        <w:tc>
          <w:tcPr>
            <w:tcW w:w="1860" w:type="dxa"/>
            <w:tcBorders>
              <w:top w:val="single" w:sz="4" w:space="0" w:color="auto"/>
              <w:left w:val="single" w:sz="4" w:space="0" w:color="auto"/>
              <w:bottom w:val="single" w:sz="4" w:space="0" w:color="auto"/>
              <w:right w:val="single" w:sz="4" w:space="0" w:color="auto"/>
            </w:tcBorders>
            <w:noWrap/>
          </w:tcPr>
          <w:p w14:paraId="7EB1DAA3"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3.25%</w:t>
            </w:r>
          </w:p>
        </w:tc>
        <w:tc>
          <w:tcPr>
            <w:tcW w:w="1722" w:type="dxa"/>
            <w:tcBorders>
              <w:top w:val="single" w:sz="4" w:space="0" w:color="auto"/>
              <w:left w:val="single" w:sz="4" w:space="0" w:color="auto"/>
              <w:bottom w:val="single" w:sz="4" w:space="0" w:color="auto"/>
              <w:right w:val="single" w:sz="4" w:space="0" w:color="auto"/>
            </w:tcBorders>
            <w:noWrap/>
          </w:tcPr>
          <w:p w14:paraId="081DA3C4"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2.00%</w:t>
            </w:r>
          </w:p>
        </w:tc>
      </w:tr>
    </w:tbl>
    <w:p w14:paraId="4502BF64" w14:textId="77777777" w:rsidR="009B5FF5" w:rsidRPr="00214730" w:rsidRDefault="009B5FF5" w:rsidP="009B5FF5">
      <w:pPr>
        <w:rPr>
          <w:rFonts w:ascii="Arial" w:hAnsi="Arial" w:cs="Arial"/>
          <w:b/>
          <w:bCs/>
          <w:sz w:val="22"/>
          <w:szCs w:val="22"/>
        </w:rPr>
      </w:pPr>
    </w:p>
    <w:p w14:paraId="4700444A" w14:textId="77777777" w:rsidR="009125EE" w:rsidRPr="00214730" w:rsidRDefault="009125EE" w:rsidP="004E53C7">
      <w:pPr>
        <w:rPr>
          <w:rFonts w:ascii="Arial" w:hAnsi="Arial" w:cs="Arial"/>
          <w:b/>
          <w:bCs/>
          <w:color w:val="242424"/>
          <w:sz w:val="22"/>
          <w:szCs w:val="22"/>
          <w:shd w:val="clear" w:color="auto" w:fill="FFFFFF"/>
        </w:rPr>
      </w:pPr>
      <w:r w:rsidRPr="00214730">
        <w:rPr>
          <w:rFonts w:ascii="Arial" w:hAnsi="Arial" w:cs="Arial"/>
          <w:b/>
          <w:bCs/>
          <w:color w:val="242424"/>
          <w:sz w:val="22"/>
          <w:szCs w:val="22"/>
          <w:shd w:val="clear" w:color="auto" w:fill="FFFFFF"/>
        </w:rPr>
        <w:t>Pensions</w:t>
      </w:r>
    </w:p>
    <w:p w14:paraId="140E019A" w14:textId="6C9A963E" w:rsidR="009125EE" w:rsidRPr="00214730" w:rsidRDefault="009125EE" w:rsidP="004E53C7">
      <w:pPr>
        <w:rPr>
          <w:rFonts w:ascii="Arial" w:hAnsi="Arial" w:cs="Arial"/>
          <w:b/>
          <w:bCs/>
          <w:color w:val="FF0000"/>
          <w:sz w:val="22"/>
          <w:szCs w:val="22"/>
        </w:rPr>
      </w:pPr>
      <w:r w:rsidRPr="00214730">
        <w:rPr>
          <w:rFonts w:ascii="Arial" w:hAnsi="Arial" w:cs="Arial"/>
          <w:color w:val="242424"/>
          <w:sz w:val="22"/>
          <w:szCs w:val="22"/>
          <w:shd w:val="clear" w:color="auto" w:fill="FFFFFF"/>
        </w:rPr>
        <w:t>With effect from 6 April 2028 the earliest age at which most pension savers can access their pensions without incurring an unauthori</w:t>
      </w:r>
      <w:r w:rsidR="00214730">
        <w:rPr>
          <w:rFonts w:ascii="Arial" w:hAnsi="Arial" w:cs="Arial"/>
          <w:color w:val="242424"/>
          <w:sz w:val="22"/>
          <w:szCs w:val="22"/>
          <w:shd w:val="clear" w:color="auto" w:fill="FFFFFF"/>
        </w:rPr>
        <w:t>s</w:t>
      </w:r>
      <w:r w:rsidRPr="00214730">
        <w:rPr>
          <w:rFonts w:ascii="Arial" w:hAnsi="Arial" w:cs="Arial"/>
          <w:color w:val="242424"/>
          <w:sz w:val="22"/>
          <w:szCs w:val="22"/>
          <w:shd w:val="clear" w:color="auto" w:fill="FFFFFF"/>
        </w:rPr>
        <w:t>ed payments tax charge will increase from 55 to 57</w:t>
      </w:r>
      <w:r w:rsidR="00214730">
        <w:rPr>
          <w:rFonts w:ascii="Arial" w:hAnsi="Arial" w:cs="Arial"/>
          <w:color w:val="242424"/>
          <w:sz w:val="22"/>
          <w:szCs w:val="22"/>
          <w:shd w:val="clear" w:color="auto" w:fill="FFFFFF"/>
        </w:rPr>
        <w:t>.</w:t>
      </w:r>
    </w:p>
    <w:p w14:paraId="44523EDF" w14:textId="77777777" w:rsidR="009125EE" w:rsidRPr="00214730" w:rsidRDefault="009125EE" w:rsidP="004E53C7">
      <w:pPr>
        <w:rPr>
          <w:rFonts w:ascii="Arial" w:hAnsi="Arial" w:cs="Arial"/>
          <w:b/>
          <w:bCs/>
          <w:color w:val="FF0000"/>
          <w:sz w:val="22"/>
          <w:szCs w:val="22"/>
        </w:rPr>
      </w:pPr>
    </w:p>
    <w:p w14:paraId="2ED83E9F" w14:textId="1A658955" w:rsidR="00FD5C00" w:rsidRPr="00214730" w:rsidRDefault="00867818" w:rsidP="004E53C7">
      <w:pPr>
        <w:rPr>
          <w:rFonts w:ascii="Arial" w:hAnsi="Arial" w:cs="Arial"/>
          <w:sz w:val="22"/>
          <w:szCs w:val="22"/>
        </w:rPr>
      </w:pPr>
      <w:r w:rsidRPr="00214730">
        <w:rPr>
          <w:rFonts w:ascii="Arial" w:hAnsi="Arial" w:cs="Arial"/>
          <w:b/>
          <w:bCs/>
          <w:sz w:val="22"/>
          <w:szCs w:val="22"/>
        </w:rPr>
        <w:t>C</w:t>
      </w:r>
      <w:r w:rsidR="002E0D4D" w:rsidRPr="00214730">
        <w:rPr>
          <w:rFonts w:ascii="Arial" w:hAnsi="Arial" w:cs="Arial"/>
          <w:b/>
          <w:bCs/>
          <w:sz w:val="22"/>
          <w:szCs w:val="22"/>
        </w:rPr>
        <w:t>apital gains tax</w:t>
      </w:r>
      <w:r w:rsidRPr="00214730">
        <w:rPr>
          <w:rFonts w:ascii="Arial" w:hAnsi="Arial" w:cs="Arial"/>
          <w:b/>
          <w:bCs/>
          <w:sz w:val="22"/>
          <w:szCs w:val="22"/>
        </w:rPr>
        <w:t xml:space="preserve"> annual exempt amount</w:t>
      </w:r>
      <w:r w:rsidRPr="00214730">
        <w:rPr>
          <w:rFonts w:ascii="Arial" w:hAnsi="Arial" w:cs="Arial"/>
          <w:sz w:val="22"/>
          <w:szCs w:val="22"/>
        </w:rPr>
        <w:t xml:space="preserve"> </w:t>
      </w:r>
      <w:r w:rsidRPr="00214730">
        <w:rPr>
          <w:rFonts w:ascii="Arial" w:hAnsi="Arial" w:cs="Arial"/>
          <w:b/>
          <w:bCs/>
          <w:sz w:val="22"/>
          <w:szCs w:val="22"/>
        </w:rPr>
        <w:t>(after personal allowance)</w:t>
      </w:r>
      <w:r w:rsidRPr="00214730">
        <w:rPr>
          <w:rFonts w:ascii="Arial" w:hAnsi="Arial" w:cs="Arial"/>
          <w:sz w:val="22"/>
          <w:szCs w:val="22"/>
        </w:rPr>
        <w:t xml:space="preserve"> </w:t>
      </w:r>
    </w:p>
    <w:p w14:paraId="46ADD502" w14:textId="407999EB" w:rsidR="00FD5C00" w:rsidRPr="00214730" w:rsidRDefault="00FD5C00" w:rsidP="004E53C7">
      <w:pPr>
        <w:rPr>
          <w:rFonts w:ascii="Arial" w:hAnsi="Arial" w:cs="Arial"/>
          <w:sz w:val="22"/>
          <w:szCs w:val="22"/>
        </w:rPr>
      </w:pPr>
      <w:r w:rsidRPr="00214730">
        <w:rPr>
          <w:rFonts w:ascii="Arial" w:hAnsi="Arial" w:cs="Arial"/>
          <w:sz w:val="22"/>
          <w:szCs w:val="22"/>
        </w:rPr>
        <w:t xml:space="preserve">These are frozen at </w:t>
      </w:r>
      <w:r w:rsidR="00867818" w:rsidRPr="00214730">
        <w:rPr>
          <w:rFonts w:ascii="Arial" w:hAnsi="Arial" w:cs="Arial"/>
          <w:sz w:val="22"/>
          <w:szCs w:val="22"/>
        </w:rPr>
        <w:t>£12,300 for individuals and £6,150 for trusts</w:t>
      </w:r>
      <w:r w:rsidR="00D8518A" w:rsidRPr="00214730">
        <w:rPr>
          <w:rFonts w:ascii="Arial" w:hAnsi="Arial" w:cs="Arial"/>
          <w:sz w:val="22"/>
          <w:szCs w:val="22"/>
        </w:rPr>
        <w:t>.</w:t>
      </w:r>
      <w:r w:rsidR="00867818" w:rsidRPr="00214730">
        <w:rPr>
          <w:rFonts w:ascii="Arial" w:hAnsi="Arial" w:cs="Arial"/>
          <w:sz w:val="22"/>
          <w:szCs w:val="22"/>
        </w:rPr>
        <w:t xml:space="preserve"> </w:t>
      </w:r>
    </w:p>
    <w:p w14:paraId="2EDE91EB" w14:textId="77777777" w:rsidR="0007192B" w:rsidRPr="00214730" w:rsidRDefault="0007192B" w:rsidP="004E53C7">
      <w:pPr>
        <w:rPr>
          <w:rFonts w:ascii="Arial" w:hAnsi="Arial" w:cs="Arial"/>
          <w:color w:val="FF0000"/>
          <w:sz w:val="22"/>
          <w:szCs w:val="22"/>
        </w:rPr>
      </w:pPr>
    </w:p>
    <w:p w14:paraId="5440575D" w14:textId="77777777" w:rsidR="0007192B" w:rsidRPr="00214730" w:rsidRDefault="0007192B" w:rsidP="0007192B">
      <w:pPr>
        <w:shd w:val="clear" w:color="auto" w:fill="FFFFFF"/>
        <w:rPr>
          <w:rFonts w:ascii="Arial" w:hAnsi="Arial" w:cs="Arial"/>
          <w:color w:val="242424"/>
          <w:sz w:val="22"/>
          <w:szCs w:val="22"/>
          <w:lang w:eastAsia="en-GB"/>
        </w:rPr>
      </w:pPr>
      <w:r w:rsidRPr="00214730">
        <w:rPr>
          <w:rFonts w:ascii="Arial" w:hAnsi="Arial" w:cs="Arial"/>
          <w:b/>
          <w:bCs/>
          <w:color w:val="242424"/>
          <w:sz w:val="22"/>
          <w:szCs w:val="22"/>
          <w:lang w:eastAsia="en-GB"/>
        </w:rPr>
        <w:t>Capital Gains Tax (CGT): property payment window</w:t>
      </w:r>
    </w:p>
    <w:p w14:paraId="7EFEEE13" w14:textId="32B9CE3D" w:rsidR="0007192B" w:rsidRPr="00214730" w:rsidRDefault="0007192B" w:rsidP="0007192B">
      <w:pPr>
        <w:shd w:val="clear" w:color="auto" w:fill="FFFFFF"/>
        <w:rPr>
          <w:rFonts w:ascii="Arial" w:hAnsi="Arial" w:cs="Arial"/>
          <w:color w:val="242424"/>
          <w:sz w:val="22"/>
          <w:szCs w:val="22"/>
          <w:lang w:eastAsia="en-GB"/>
        </w:rPr>
      </w:pPr>
      <w:r w:rsidRPr="00214730">
        <w:rPr>
          <w:rFonts w:ascii="Arial" w:hAnsi="Arial" w:cs="Arial"/>
          <w:color w:val="242424"/>
          <w:sz w:val="22"/>
          <w:szCs w:val="22"/>
          <w:lang w:eastAsia="en-GB"/>
        </w:rPr>
        <w:t xml:space="preserve">From 27 October 2021 the deadline for residents and non-residents to report and pay CGT after selling UK residential property </w:t>
      </w:r>
      <w:r w:rsidR="007659F5" w:rsidRPr="00214730">
        <w:rPr>
          <w:rFonts w:ascii="Arial" w:hAnsi="Arial" w:cs="Arial"/>
          <w:color w:val="242424"/>
          <w:sz w:val="22"/>
          <w:szCs w:val="22"/>
          <w:lang w:eastAsia="en-GB"/>
        </w:rPr>
        <w:t>increases</w:t>
      </w:r>
      <w:r w:rsidRPr="00214730">
        <w:rPr>
          <w:rFonts w:ascii="Arial" w:hAnsi="Arial" w:cs="Arial"/>
          <w:color w:val="242424"/>
          <w:sz w:val="22"/>
          <w:szCs w:val="22"/>
          <w:lang w:eastAsia="en-GB"/>
        </w:rPr>
        <w:t xml:space="preserve"> from 30 days after the completion date to 60 days. This will be a welcome measure for taxpayers, giving them sufficient time to report and pay CGT.</w:t>
      </w:r>
    </w:p>
    <w:p w14:paraId="2092CB23" w14:textId="0182BD1E" w:rsidR="00FD5C00" w:rsidRPr="00214730" w:rsidRDefault="00FD5C00" w:rsidP="007659F5">
      <w:pPr>
        <w:shd w:val="clear" w:color="auto" w:fill="FFFFFF"/>
        <w:rPr>
          <w:rFonts w:ascii="Arial" w:hAnsi="Arial" w:cs="Arial"/>
          <w:color w:val="242424"/>
          <w:sz w:val="22"/>
          <w:szCs w:val="22"/>
          <w:lang w:eastAsia="en-GB"/>
        </w:rPr>
      </w:pPr>
    </w:p>
    <w:p w14:paraId="6C6B0CFF" w14:textId="15D17C1B" w:rsidR="00010DA1" w:rsidRPr="00214730" w:rsidRDefault="00010DA1" w:rsidP="004E53C7">
      <w:pPr>
        <w:rPr>
          <w:rFonts w:ascii="Arial" w:hAnsi="Arial" w:cs="Arial"/>
          <w:b/>
          <w:bCs/>
          <w:sz w:val="22"/>
          <w:szCs w:val="22"/>
        </w:rPr>
      </w:pPr>
      <w:r w:rsidRPr="00214730">
        <w:rPr>
          <w:rFonts w:ascii="Arial" w:hAnsi="Arial" w:cs="Arial"/>
          <w:b/>
          <w:bCs/>
          <w:sz w:val="22"/>
          <w:szCs w:val="22"/>
        </w:rPr>
        <w:t xml:space="preserve">Dividend </w:t>
      </w:r>
      <w:r w:rsidR="004E53C7" w:rsidRPr="00214730">
        <w:rPr>
          <w:rFonts w:ascii="Arial" w:hAnsi="Arial" w:cs="Arial"/>
          <w:b/>
          <w:bCs/>
          <w:sz w:val="22"/>
          <w:szCs w:val="22"/>
        </w:rPr>
        <w:t>a</w:t>
      </w:r>
      <w:r w:rsidRPr="00214730">
        <w:rPr>
          <w:rFonts w:ascii="Arial" w:hAnsi="Arial" w:cs="Arial"/>
          <w:b/>
          <w:bCs/>
          <w:sz w:val="22"/>
          <w:szCs w:val="22"/>
        </w:rPr>
        <w:t>llowance</w:t>
      </w:r>
    </w:p>
    <w:p w14:paraId="61DE741E" w14:textId="4B578139" w:rsidR="0068273D" w:rsidRDefault="00010DA1" w:rsidP="004E53C7">
      <w:pPr>
        <w:rPr>
          <w:rFonts w:ascii="Arial" w:hAnsi="Arial" w:cs="Arial"/>
          <w:sz w:val="22"/>
          <w:szCs w:val="22"/>
        </w:rPr>
      </w:pPr>
      <w:r w:rsidRPr="00214730">
        <w:rPr>
          <w:rFonts w:ascii="Arial" w:hAnsi="Arial" w:cs="Arial"/>
          <w:sz w:val="22"/>
          <w:szCs w:val="22"/>
        </w:rPr>
        <w:t>The tax-free dividend allowance</w:t>
      </w:r>
      <w:r w:rsidR="00932D05" w:rsidRPr="00214730">
        <w:rPr>
          <w:rFonts w:ascii="Arial" w:hAnsi="Arial" w:cs="Arial"/>
          <w:sz w:val="22"/>
          <w:szCs w:val="22"/>
        </w:rPr>
        <w:t xml:space="preserve"> </w:t>
      </w:r>
      <w:r w:rsidR="00023486" w:rsidRPr="00214730">
        <w:rPr>
          <w:rFonts w:ascii="Arial" w:hAnsi="Arial" w:cs="Arial"/>
          <w:sz w:val="22"/>
          <w:szCs w:val="22"/>
        </w:rPr>
        <w:t>is unchanged at</w:t>
      </w:r>
      <w:r w:rsidRPr="00214730">
        <w:rPr>
          <w:rFonts w:ascii="Arial" w:hAnsi="Arial" w:cs="Arial"/>
          <w:sz w:val="22"/>
          <w:szCs w:val="22"/>
        </w:rPr>
        <w:t xml:space="preserve"> £2,000.</w:t>
      </w:r>
      <w:r w:rsidR="0068273D" w:rsidRPr="00214730">
        <w:rPr>
          <w:rFonts w:ascii="Arial" w:eastAsiaTheme="minorHAnsi" w:hAnsi="Arial" w:cs="Arial"/>
          <w:sz w:val="22"/>
          <w:szCs w:val="22"/>
        </w:rPr>
        <w:t xml:space="preserve"> </w:t>
      </w:r>
      <w:r w:rsidR="009B5FF5" w:rsidRPr="00214730">
        <w:rPr>
          <w:rFonts w:ascii="Arial" w:hAnsi="Arial" w:cs="Arial"/>
          <w:sz w:val="22"/>
          <w:szCs w:val="22"/>
        </w:rPr>
        <w:t>The dividend tax rates are increased by 1.25% for each category of taxpayers for 2022 -23</w:t>
      </w:r>
      <w:r w:rsidR="00214730">
        <w:rPr>
          <w:rFonts w:ascii="Arial" w:hAnsi="Arial" w:cs="Arial"/>
          <w:sz w:val="22"/>
          <w:szCs w:val="22"/>
        </w:rPr>
        <w:t>.</w:t>
      </w:r>
    </w:p>
    <w:p w14:paraId="77053BB3" w14:textId="77777777" w:rsidR="00214730" w:rsidRPr="00214730" w:rsidRDefault="00214730" w:rsidP="004E53C7">
      <w:pPr>
        <w:rPr>
          <w:rFonts w:ascii="Arial" w:hAnsi="Arial" w:cs="Arial"/>
          <w:sz w:val="22"/>
          <w:szCs w:val="22"/>
        </w:rPr>
      </w:pPr>
    </w:p>
    <w:tbl>
      <w:tblPr>
        <w:tblW w:w="10022" w:type="dxa"/>
        <w:tblLayout w:type="fixed"/>
        <w:tblLook w:val="04A0" w:firstRow="1" w:lastRow="0" w:firstColumn="1" w:lastColumn="0" w:noHBand="0" w:noVBand="1"/>
      </w:tblPr>
      <w:tblGrid>
        <w:gridCol w:w="6440"/>
        <w:gridCol w:w="1860"/>
        <w:gridCol w:w="1722"/>
      </w:tblGrid>
      <w:tr w:rsidR="009B5FF5" w:rsidRPr="00B20F4A" w14:paraId="5E7C42BA" w14:textId="77777777" w:rsidTr="00B624B6">
        <w:trPr>
          <w:trHeight w:val="330"/>
        </w:trPr>
        <w:tc>
          <w:tcPr>
            <w:tcW w:w="6440" w:type="dxa"/>
            <w:tcBorders>
              <w:top w:val="single" w:sz="4" w:space="0" w:color="auto"/>
              <w:left w:val="single" w:sz="4" w:space="0" w:color="auto"/>
              <w:bottom w:val="single" w:sz="4" w:space="0" w:color="auto"/>
              <w:right w:val="single" w:sz="4" w:space="0" w:color="auto"/>
            </w:tcBorders>
            <w:noWrap/>
          </w:tcPr>
          <w:p w14:paraId="76AC9815" w14:textId="77777777" w:rsidR="009B5FF5" w:rsidRPr="009A6306" w:rsidRDefault="009B5FF5" w:rsidP="00B624B6">
            <w:pPr>
              <w:rPr>
                <w:rFonts w:ascii="Arial" w:hAnsi="Arial" w:cs="Arial"/>
                <w:b/>
                <w:bCs/>
                <w:sz w:val="20"/>
                <w:szCs w:val="20"/>
              </w:rPr>
            </w:pPr>
            <w:r w:rsidRPr="009A6306">
              <w:rPr>
                <w:rFonts w:ascii="Arial" w:hAnsi="Arial" w:cs="Arial"/>
                <w:b/>
                <w:bCs/>
                <w:sz w:val="20"/>
                <w:szCs w:val="20"/>
              </w:rPr>
              <w:t xml:space="preserve">Dividend </w:t>
            </w:r>
            <w:r>
              <w:rPr>
                <w:rFonts w:ascii="Arial" w:hAnsi="Arial" w:cs="Arial"/>
                <w:b/>
                <w:bCs/>
                <w:sz w:val="20"/>
                <w:szCs w:val="20"/>
              </w:rPr>
              <w:t xml:space="preserve">tax </w:t>
            </w:r>
            <w:r w:rsidRPr="009A6306">
              <w:rPr>
                <w:rFonts w:ascii="Arial" w:hAnsi="Arial" w:cs="Arial"/>
                <w:b/>
                <w:bCs/>
                <w:sz w:val="20"/>
                <w:szCs w:val="20"/>
              </w:rPr>
              <w:t>rates</w:t>
            </w:r>
          </w:p>
        </w:tc>
        <w:tc>
          <w:tcPr>
            <w:tcW w:w="1860" w:type="dxa"/>
            <w:tcBorders>
              <w:top w:val="single" w:sz="4" w:space="0" w:color="auto"/>
              <w:left w:val="single" w:sz="4" w:space="0" w:color="auto"/>
              <w:bottom w:val="single" w:sz="4" w:space="0" w:color="auto"/>
              <w:right w:val="single" w:sz="4" w:space="0" w:color="auto"/>
            </w:tcBorders>
            <w:noWrap/>
          </w:tcPr>
          <w:p w14:paraId="565357D6" w14:textId="02394A29" w:rsidR="009B5FF5" w:rsidRPr="00B20F4A" w:rsidRDefault="009B5FF5" w:rsidP="00B624B6">
            <w:pPr>
              <w:jc w:val="right"/>
              <w:rPr>
                <w:rFonts w:ascii="Arial" w:hAnsi="Arial" w:cs="Arial"/>
                <w:sz w:val="20"/>
                <w:szCs w:val="20"/>
              </w:rPr>
            </w:pPr>
            <w:r w:rsidRPr="00B20F4A">
              <w:rPr>
                <w:rFonts w:ascii="Arial" w:hAnsi="Arial" w:cs="Arial"/>
                <w:b/>
                <w:bCs/>
                <w:sz w:val="20"/>
                <w:szCs w:val="20"/>
              </w:rPr>
              <w:t>2022-23</w:t>
            </w:r>
          </w:p>
        </w:tc>
        <w:tc>
          <w:tcPr>
            <w:tcW w:w="1722" w:type="dxa"/>
            <w:tcBorders>
              <w:top w:val="single" w:sz="4" w:space="0" w:color="auto"/>
              <w:left w:val="single" w:sz="4" w:space="0" w:color="auto"/>
              <w:bottom w:val="single" w:sz="4" w:space="0" w:color="auto"/>
              <w:right w:val="single" w:sz="4" w:space="0" w:color="auto"/>
            </w:tcBorders>
            <w:noWrap/>
          </w:tcPr>
          <w:p w14:paraId="565D9079" w14:textId="3CE06FCA" w:rsidR="009B5FF5" w:rsidRPr="00B20F4A" w:rsidRDefault="009B5FF5" w:rsidP="00B624B6">
            <w:pPr>
              <w:jc w:val="right"/>
              <w:rPr>
                <w:rFonts w:ascii="Arial" w:hAnsi="Arial" w:cs="Arial"/>
                <w:sz w:val="20"/>
                <w:szCs w:val="20"/>
              </w:rPr>
            </w:pPr>
            <w:r w:rsidRPr="00B20F4A">
              <w:rPr>
                <w:rFonts w:ascii="Arial" w:hAnsi="Arial" w:cs="Arial"/>
                <w:b/>
                <w:bCs/>
                <w:sz w:val="20"/>
                <w:szCs w:val="20"/>
              </w:rPr>
              <w:t>2021-22</w:t>
            </w:r>
          </w:p>
        </w:tc>
      </w:tr>
      <w:tr w:rsidR="009B5FF5" w:rsidRPr="00B20F4A" w14:paraId="23C77899" w14:textId="77777777" w:rsidTr="00B624B6">
        <w:trPr>
          <w:trHeight w:val="330"/>
        </w:trPr>
        <w:tc>
          <w:tcPr>
            <w:tcW w:w="6440" w:type="dxa"/>
            <w:tcBorders>
              <w:top w:val="single" w:sz="4" w:space="0" w:color="auto"/>
              <w:left w:val="single" w:sz="4" w:space="0" w:color="auto"/>
              <w:bottom w:val="single" w:sz="4" w:space="0" w:color="auto"/>
              <w:right w:val="single" w:sz="4" w:space="0" w:color="auto"/>
            </w:tcBorders>
            <w:noWrap/>
          </w:tcPr>
          <w:p w14:paraId="6018D26E" w14:textId="77777777" w:rsidR="009B5FF5" w:rsidRPr="00C770C2" w:rsidRDefault="009B5FF5" w:rsidP="00B624B6">
            <w:pPr>
              <w:rPr>
                <w:rFonts w:ascii="Arial" w:hAnsi="Arial" w:cs="Arial"/>
                <w:sz w:val="20"/>
                <w:szCs w:val="20"/>
              </w:rPr>
            </w:pPr>
            <w:r w:rsidRPr="00EF34F1">
              <w:rPr>
                <w:rFonts w:ascii="Arial" w:hAnsi="Arial" w:cs="Arial"/>
                <w:sz w:val="20"/>
                <w:szCs w:val="20"/>
              </w:rPr>
              <w:t>Dividend ordinary rate (for dividends within basic rate band)</w:t>
            </w:r>
          </w:p>
        </w:tc>
        <w:tc>
          <w:tcPr>
            <w:tcW w:w="1860" w:type="dxa"/>
            <w:tcBorders>
              <w:top w:val="single" w:sz="4" w:space="0" w:color="auto"/>
              <w:left w:val="single" w:sz="4" w:space="0" w:color="auto"/>
              <w:bottom w:val="single" w:sz="4" w:space="0" w:color="auto"/>
              <w:right w:val="single" w:sz="4" w:space="0" w:color="auto"/>
            </w:tcBorders>
            <w:noWrap/>
          </w:tcPr>
          <w:p w14:paraId="334D9F47"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8.75%</w:t>
            </w:r>
          </w:p>
        </w:tc>
        <w:tc>
          <w:tcPr>
            <w:tcW w:w="1722" w:type="dxa"/>
            <w:tcBorders>
              <w:top w:val="single" w:sz="4" w:space="0" w:color="auto"/>
              <w:left w:val="single" w:sz="4" w:space="0" w:color="auto"/>
              <w:bottom w:val="single" w:sz="4" w:space="0" w:color="auto"/>
              <w:right w:val="single" w:sz="4" w:space="0" w:color="auto"/>
            </w:tcBorders>
            <w:noWrap/>
          </w:tcPr>
          <w:p w14:paraId="43E42E0D"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7.50%</w:t>
            </w:r>
          </w:p>
        </w:tc>
      </w:tr>
      <w:tr w:rsidR="009B5FF5" w:rsidRPr="00B20F4A" w14:paraId="442DF22F" w14:textId="77777777" w:rsidTr="00B624B6">
        <w:trPr>
          <w:trHeight w:val="330"/>
        </w:trPr>
        <w:tc>
          <w:tcPr>
            <w:tcW w:w="6440" w:type="dxa"/>
            <w:tcBorders>
              <w:top w:val="single" w:sz="4" w:space="0" w:color="auto"/>
              <w:left w:val="single" w:sz="4" w:space="0" w:color="auto"/>
              <w:bottom w:val="single" w:sz="4" w:space="0" w:color="auto"/>
              <w:right w:val="single" w:sz="4" w:space="0" w:color="auto"/>
            </w:tcBorders>
            <w:noWrap/>
          </w:tcPr>
          <w:p w14:paraId="366A5130" w14:textId="77777777" w:rsidR="009B5FF5" w:rsidRPr="00C770C2" w:rsidRDefault="009B5FF5" w:rsidP="00B624B6">
            <w:pPr>
              <w:rPr>
                <w:rFonts w:ascii="Arial" w:hAnsi="Arial" w:cs="Arial"/>
                <w:sz w:val="20"/>
                <w:szCs w:val="20"/>
              </w:rPr>
            </w:pPr>
            <w:r w:rsidRPr="00EF34F1">
              <w:rPr>
                <w:rFonts w:ascii="Arial" w:hAnsi="Arial" w:cs="Arial"/>
                <w:sz w:val="20"/>
                <w:szCs w:val="20"/>
              </w:rPr>
              <w:t>Dividend upper rate (for dividends within higher rate band)</w:t>
            </w:r>
          </w:p>
        </w:tc>
        <w:tc>
          <w:tcPr>
            <w:tcW w:w="1860" w:type="dxa"/>
            <w:tcBorders>
              <w:top w:val="single" w:sz="4" w:space="0" w:color="auto"/>
              <w:left w:val="single" w:sz="4" w:space="0" w:color="auto"/>
              <w:bottom w:val="single" w:sz="4" w:space="0" w:color="auto"/>
              <w:right w:val="single" w:sz="4" w:space="0" w:color="auto"/>
            </w:tcBorders>
            <w:noWrap/>
          </w:tcPr>
          <w:p w14:paraId="27B95C7B"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33.75%</w:t>
            </w:r>
          </w:p>
        </w:tc>
        <w:tc>
          <w:tcPr>
            <w:tcW w:w="1722" w:type="dxa"/>
            <w:tcBorders>
              <w:top w:val="single" w:sz="4" w:space="0" w:color="auto"/>
              <w:left w:val="single" w:sz="4" w:space="0" w:color="auto"/>
              <w:bottom w:val="single" w:sz="4" w:space="0" w:color="auto"/>
              <w:right w:val="single" w:sz="4" w:space="0" w:color="auto"/>
            </w:tcBorders>
            <w:noWrap/>
          </w:tcPr>
          <w:p w14:paraId="0D1D9D73"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32.50%</w:t>
            </w:r>
          </w:p>
        </w:tc>
      </w:tr>
      <w:tr w:rsidR="009B5FF5" w:rsidRPr="00B20F4A" w14:paraId="7079FDDF" w14:textId="77777777" w:rsidTr="00B624B6">
        <w:trPr>
          <w:trHeight w:val="330"/>
        </w:trPr>
        <w:tc>
          <w:tcPr>
            <w:tcW w:w="6440" w:type="dxa"/>
            <w:tcBorders>
              <w:top w:val="single" w:sz="4" w:space="0" w:color="auto"/>
              <w:left w:val="single" w:sz="4" w:space="0" w:color="auto"/>
              <w:bottom w:val="single" w:sz="4" w:space="0" w:color="auto"/>
              <w:right w:val="single" w:sz="4" w:space="0" w:color="auto"/>
            </w:tcBorders>
            <w:noWrap/>
          </w:tcPr>
          <w:p w14:paraId="31B0D1C3" w14:textId="77777777" w:rsidR="009B5FF5" w:rsidRPr="00C770C2" w:rsidRDefault="009B5FF5" w:rsidP="00B624B6">
            <w:pPr>
              <w:rPr>
                <w:rFonts w:ascii="Arial" w:hAnsi="Arial" w:cs="Arial"/>
                <w:sz w:val="20"/>
                <w:szCs w:val="20"/>
              </w:rPr>
            </w:pPr>
            <w:r w:rsidRPr="00EF34F1">
              <w:rPr>
                <w:rFonts w:ascii="Arial" w:hAnsi="Arial" w:cs="Arial"/>
                <w:sz w:val="20"/>
                <w:szCs w:val="20"/>
              </w:rPr>
              <w:t>Dividend additional rate (for dividends above higher rate band)</w:t>
            </w:r>
          </w:p>
        </w:tc>
        <w:tc>
          <w:tcPr>
            <w:tcW w:w="1860" w:type="dxa"/>
            <w:tcBorders>
              <w:top w:val="single" w:sz="4" w:space="0" w:color="auto"/>
              <w:left w:val="single" w:sz="4" w:space="0" w:color="auto"/>
              <w:bottom w:val="single" w:sz="4" w:space="0" w:color="auto"/>
              <w:right w:val="single" w:sz="4" w:space="0" w:color="auto"/>
            </w:tcBorders>
            <w:noWrap/>
          </w:tcPr>
          <w:p w14:paraId="676BF3C3"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39.35%</w:t>
            </w:r>
          </w:p>
        </w:tc>
        <w:tc>
          <w:tcPr>
            <w:tcW w:w="1722" w:type="dxa"/>
            <w:tcBorders>
              <w:top w:val="single" w:sz="4" w:space="0" w:color="auto"/>
              <w:left w:val="single" w:sz="4" w:space="0" w:color="auto"/>
              <w:bottom w:val="single" w:sz="4" w:space="0" w:color="auto"/>
              <w:right w:val="single" w:sz="4" w:space="0" w:color="auto"/>
            </w:tcBorders>
            <w:noWrap/>
          </w:tcPr>
          <w:p w14:paraId="33737C72" w14:textId="77777777" w:rsidR="009B5FF5" w:rsidRPr="00B20F4A" w:rsidRDefault="009B5FF5" w:rsidP="00B624B6">
            <w:pPr>
              <w:jc w:val="right"/>
              <w:rPr>
                <w:rFonts w:ascii="Arial" w:hAnsi="Arial" w:cs="Arial"/>
                <w:sz w:val="20"/>
                <w:szCs w:val="20"/>
              </w:rPr>
            </w:pPr>
            <w:r w:rsidRPr="00B20F4A">
              <w:rPr>
                <w:rFonts w:ascii="Arial" w:hAnsi="Arial" w:cs="Arial"/>
                <w:sz w:val="20"/>
                <w:szCs w:val="20"/>
              </w:rPr>
              <w:t>38.10%</w:t>
            </w:r>
          </w:p>
        </w:tc>
      </w:tr>
    </w:tbl>
    <w:p w14:paraId="101DA97B" w14:textId="77777777" w:rsidR="009B5FF5" w:rsidRDefault="009B5FF5" w:rsidP="004E53C7">
      <w:pPr>
        <w:rPr>
          <w:rFonts w:ascii="Arial" w:eastAsiaTheme="minorHAnsi" w:hAnsi="Arial" w:cs="Arial"/>
          <w:sz w:val="22"/>
          <w:szCs w:val="22"/>
        </w:rPr>
      </w:pPr>
    </w:p>
    <w:p w14:paraId="3E8B8B38" w14:textId="55519C5C" w:rsidR="00FA1B37" w:rsidRPr="00D8518A" w:rsidRDefault="00FA1B37" w:rsidP="004E53C7">
      <w:pPr>
        <w:rPr>
          <w:rFonts w:ascii="Arial" w:eastAsiaTheme="minorHAnsi" w:hAnsi="Arial" w:cs="Arial"/>
          <w:sz w:val="22"/>
          <w:szCs w:val="22"/>
        </w:rPr>
      </w:pPr>
      <w:r>
        <w:rPr>
          <w:rFonts w:ascii="Arial" w:eastAsiaTheme="minorHAnsi" w:hAnsi="Arial" w:cs="Arial"/>
          <w:sz w:val="22"/>
          <w:szCs w:val="22"/>
        </w:rPr>
        <w:t>Di</w:t>
      </w:r>
      <w:r w:rsidR="007C160C">
        <w:rPr>
          <w:rFonts w:ascii="Arial" w:eastAsiaTheme="minorHAnsi" w:hAnsi="Arial" w:cs="Arial"/>
          <w:sz w:val="22"/>
          <w:szCs w:val="22"/>
        </w:rPr>
        <w:t xml:space="preserve">rectors loan accounts </w:t>
      </w:r>
      <w:r w:rsidR="007C160C">
        <w:rPr>
          <w:rFonts w:ascii="Helvetica" w:hAnsi="Helvetica"/>
          <w:color w:val="333333"/>
          <w:spacing w:val="2"/>
          <w:sz w:val="19"/>
          <w:szCs w:val="19"/>
          <w:shd w:val="clear" w:color="auto" w:fill="FFFFFF"/>
        </w:rPr>
        <w:t>s</w:t>
      </w:r>
      <w:r w:rsidR="00E75062">
        <w:rPr>
          <w:rFonts w:ascii="Helvetica" w:hAnsi="Helvetica"/>
          <w:color w:val="333333"/>
          <w:spacing w:val="2"/>
          <w:sz w:val="19"/>
          <w:szCs w:val="19"/>
          <w:shd w:val="clear" w:color="auto" w:fill="FFFFFF"/>
        </w:rPr>
        <w:t>.</w:t>
      </w:r>
      <w:r w:rsidR="007C160C">
        <w:rPr>
          <w:rFonts w:ascii="Helvetica" w:hAnsi="Helvetica"/>
          <w:color w:val="333333"/>
          <w:spacing w:val="2"/>
          <w:sz w:val="19"/>
          <w:szCs w:val="19"/>
          <w:shd w:val="clear" w:color="auto" w:fill="FFFFFF"/>
        </w:rPr>
        <w:t>455 rate will also increase from April 2022, from 32.5% to 33.75%.</w:t>
      </w:r>
    </w:p>
    <w:p w14:paraId="68321423" w14:textId="77777777" w:rsidR="00604FE2" w:rsidRPr="00D8518A" w:rsidRDefault="00604FE2" w:rsidP="003509D0">
      <w:pPr>
        <w:autoSpaceDE w:val="0"/>
        <w:autoSpaceDN w:val="0"/>
        <w:rPr>
          <w:rFonts w:ascii="Arial" w:hAnsi="Arial" w:cs="Arial"/>
          <w:sz w:val="22"/>
          <w:szCs w:val="22"/>
          <w:lang w:eastAsia="en-GB"/>
        </w:rPr>
      </w:pPr>
    </w:p>
    <w:p w14:paraId="643B79C6" w14:textId="77777777" w:rsidR="003509D0" w:rsidRPr="00214730" w:rsidRDefault="003509D0" w:rsidP="00214730">
      <w:pPr>
        <w:autoSpaceDE w:val="0"/>
        <w:autoSpaceDN w:val="0"/>
        <w:rPr>
          <w:rFonts w:ascii="Arial" w:hAnsi="Arial" w:cs="Arial"/>
          <w:sz w:val="22"/>
          <w:szCs w:val="22"/>
        </w:rPr>
      </w:pPr>
      <w:r w:rsidRPr="00214730">
        <w:rPr>
          <w:rFonts w:ascii="Arial" w:hAnsi="Arial" w:cs="Arial"/>
          <w:b/>
          <w:bCs/>
          <w:sz w:val="22"/>
          <w:szCs w:val="22"/>
        </w:rPr>
        <w:t>Corporation tax</w:t>
      </w:r>
    </w:p>
    <w:p w14:paraId="58BB92D2" w14:textId="506BABD4" w:rsidR="003509D0" w:rsidRPr="00214730" w:rsidRDefault="00AF44C6" w:rsidP="00214730">
      <w:pPr>
        <w:autoSpaceDE w:val="0"/>
        <w:autoSpaceDN w:val="0"/>
        <w:adjustRightInd w:val="0"/>
        <w:rPr>
          <w:rFonts w:ascii="Arial" w:hAnsi="Arial" w:cs="Arial"/>
          <w:sz w:val="22"/>
          <w:szCs w:val="22"/>
        </w:rPr>
      </w:pPr>
      <w:r w:rsidRPr="00214730">
        <w:rPr>
          <w:rFonts w:ascii="Arial" w:hAnsi="Arial" w:cs="Arial"/>
          <w:sz w:val="22"/>
          <w:szCs w:val="22"/>
        </w:rPr>
        <w:t>T</w:t>
      </w:r>
      <w:r w:rsidR="003509D0" w:rsidRPr="00214730">
        <w:rPr>
          <w:rFonts w:ascii="Arial" w:hAnsi="Arial" w:cs="Arial"/>
          <w:sz w:val="22"/>
          <w:szCs w:val="22"/>
        </w:rPr>
        <w:t>he corporation tax</w:t>
      </w:r>
      <w:r w:rsidR="00010DA1" w:rsidRPr="00214730">
        <w:rPr>
          <w:rFonts w:ascii="Arial" w:hAnsi="Arial" w:cs="Arial"/>
          <w:sz w:val="22"/>
          <w:szCs w:val="22"/>
        </w:rPr>
        <w:t xml:space="preserve"> rate</w:t>
      </w:r>
      <w:r w:rsidR="003509D0" w:rsidRPr="00214730">
        <w:rPr>
          <w:rFonts w:ascii="Arial" w:hAnsi="Arial" w:cs="Arial"/>
          <w:sz w:val="22"/>
          <w:szCs w:val="22"/>
        </w:rPr>
        <w:t xml:space="preserve"> will </w:t>
      </w:r>
      <w:r w:rsidR="00434DC2" w:rsidRPr="00214730">
        <w:rPr>
          <w:rFonts w:ascii="Arial" w:hAnsi="Arial" w:cs="Arial"/>
          <w:sz w:val="22"/>
          <w:szCs w:val="22"/>
        </w:rPr>
        <w:t>remain at</w:t>
      </w:r>
      <w:r w:rsidR="00010DA1" w:rsidRPr="00214730">
        <w:rPr>
          <w:rFonts w:ascii="Arial" w:hAnsi="Arial" w:cs="Arial"/>
          <w:sz w:val="22"/>
          <w:szCs w:val="22"/>
        </w:rPr>
        <w:t xml:space="preserve"> 19</w:t>
      </w:r>
      <w:r w:rsidR="003509D0" w:rsidRPr="00214730">
        <w:rPr>
          <w:rFonts w:ascii="Arial" w:hAnsi="Arial" w:cs="Arial"/>
          <w:sz w:val="22"/>
          <w:szCs w:val="22"/>
        </w:rPr>
        <w:t>%</w:t>
      </w:r>
      <w:r w:rsidR="00434DC2" w:rsidRPr="00214730">
        <w:rPr>
          <w:rFonts w:ascii="Arial" w:hAnsi="Arial" w:cs="Arial"/>
          <w:sz w:val="22"/>
          <w:szCs w:val="22"/>
        </w:rPr>
        <w:t xml:space="preserve"> </w:t>
      </w:r>
      <w:r w:rsidR="00E70D0D" w:rsidRPr="00214730">
        <w:rPr>
          <w:rFonts w:ascii="Arial" w:hAnsi="Arial" w:cs="Arial"/>
          <w:sz w:val="22"/>
          <w:szCs w:val="22"/>
        </w:rPr>
        <w:t xml:space="preserve">but </w:t>
      </w:r>
      <w:r w:rsidR="0073722F" w:rsidRPr="00214730">
        <w:rPr>
          <w:rFonts w:ascii="Arial" w:hAnsi="Arial" w:cs="Arial"/>
          <w:sz w:val="22"/>
          <w:szCs w:val="22"/>
        </w:rPr>
        <w:t>from April 2023</w:t>
      </w:r>
      <w:r w:rsidR="00CB42A9" w:rsidRPr="00214730">
        <w:rPr>
          <w:rFonts w:ascii="Arial" w:hAnsi="Arial" w:cs="Arial"/>
          <w:sz w:val="22"/>
          <w:szCs w:val="22"/>
        </w:rPr>
        <w:t xml:space="preserve"> t</w:t>
      </w:r>
      <w:r w:rsidR="0073722F" w:rsidRPr="00214730">
        <w:rPr>
          <w:rFonts w:ascii="Arial" w:hAnsi="Arial" w:cs="Arial"/>
          <w:sz w:val="22"/>
          <w:szCs w:val="22"/>
        </w:rPr>
        <w:t xml:space="preserve">he applicable corporation tax rates will be 19% and 25%. Businesses with profits of £50,000 or below </w:t>
      </w:r>
      <w:r w:rsidR="00F70724" w:rsidRPr="00214730">
        <w:rPr>
          <w:rFonts w:ascii="Arial" w:hAnsi="Arial" w:cs="Arial"/>
          <w:sz w:val="22"/>
          <w:szCs w:val="22"/>
        </w:rPr>
        <w:t>will</w:t>
      </w:r>
      <w:r w:rsidR="0073722F" w:rsidRPr="00214730">
        <w:rPr>
          <w:rFonts w:ascii="Arial" w:hAnsi="Arial" w:cs="Arial"/>
          <w:sz w:val="22"/>
          <w:szCs w:val="22"/>
        </w:rPr>
        <w:t xml:space="preserve"> still only have to pay 19% under </w:t>
      </w:r>
      <w:r w:rsidR="00D8518A" w:rsidRPr="00214730">
        <w:rPr>
          <w:rFonts w:ascii="Arial" w:hAnsi="Arial" w:cs="Arial"/>
          <w:sz w:val="22"/>
          <w:szCs w:val="22"/>
        </w:rPr>
        <w:t xml:space="preserve">the </w:t>
      </w:r>
      <w:r w:rsidR="00334795" w:rsidRPr="00214730">
        <w:rPr>
          <w:rFonts w:ascii="Arial" w:hAnsi="Arial" w:cs="Arial"/>
          <w:sz w:val="22"/>
          <w:szCs w:val="22"/>
        </w:rPr>
        <w:t>s</w:t>
      </w:r>
      <w:r w:rsidR="0073722F" w:rsidRPr="00214730">
        <w:rPr>
          <w:rFonts w:ascii="Arial" w:hAnsi="Arial" w:cs="Arial"/>
          <w:sz w:val="22"/>
          <w:szCs w:val="22"/>
        </w:rPr>
        <w:t xml:space="preserve">mall </w:t>
      </w:r>
      <w:r w:rsidR="00334795" w:rsidRPr="00214730">
        <w:rPr>
          <w:rFonts w:ascii="Arial" w:hAnsi="Arial" w:cs="Arial"/>
          <w:sz w:val="22"/>
          <w:szCs w:val="22"/>
        </w:rPr>
        <w:t>p</w:t>
      </w:r>
      <w:r w:rsidR="0073722F" w:rsidRPr="00214730">
        <w:rPr>
          <w:rFonts w:ascii="Arial" w:hAnsi="Arial" w:cs="Arial"/>
          <w:sz w:val="22"/>
          <w:szCs w:val="22"/>
        </w:rPr>
        <w:t>rofit</w:t>
      </w:r>
      <w:r w:rsidR="00334795" w:rsidRPr="00214730">
        <w:rPr>
          <w:rFonts w:ascii="Arial" w:hAnsi="Arial" w:cs="Arial"/>
          <w:sz w:val="22"/>
          <w:szCs w:val="22"/>
        </w:rPr>
        <w:t>s</w:t>
      </w:r>
      <w:r w:rsidR="0073722F" w:rsidRPr="00214730">
        <w:rPr>
          <w:rFonts w:ascii="Arial" w:hAnsi="Arial" w:cs="Arial"/>
          <w:sz w:val="22"/>
          <w:szCs w:val="22"/>
        </w:rPr>
        <w:t xml:space="preserve"> </w:t>
      </w:r>
      <w:r w:rsidR="00334795" w:rsidRPr="00214730">
        <w:rPr>
          <w:rFonts w:ascii="Arial" w:hAnsi="Arial" w:cs="Arial"/>
          <w:sz w:val="22"/>
          <w:szCs w:val="22"/>
        </w:rPr>
        <w:t>r</w:t>
      </w:r>
      <w:r w:rsidR="0073722F" w:rsidRPr="00214730">
        <w:rPr>
          <w:rFonts w:ascii="Arial" w:hAnsi="Arial" w:cs="Arial"/>
          <w:sz w:val="22"/>
          <w:szCs w:val="22"/>
        </w:rPr>
        <w:t>ate.</w:t>
      </w:r>
    </w:p>
    <w:p w14:paraId="2EFC5FBA" w14:textId="77777777" w:rsidR="003509D0" w:rsidRPr="00214730" w:rsidRDefault="003509D0" w:rsidP="00214730">
      <w:pPr>
        <w:autoSpaceDE w:val="0"/>
        <w:autoSpaceDN w:val="0"/>
        <w:adjustRightInd w:val="0"/>
        <w:rPr>
          <w:rFonts w:ascii="Arial" w:hAnsi="Arial" w:cs="Arial"/>
          <w:sz w:val="22"/>
          <w:szCs w:val="22"/>
        </w:rPr>
      </w:pPr>
    </w:p>
    <w:p w14:paraId="18C4B9B0" w14:textId="77777777" w:rsidR="0048489A" w:rsidRPr="00214730" w:rsidRDefault="00FA001F" w:rsidP="00214730">
      <w:pPr>
        <w:rPr>
          <w:rFonts w:ascii="Arial" w:hAnsi="Arial" w:cs="Arial"/>
          <w:b/>
          <w:bCs/>
          <w:sz w:val="22"/>
          <w:szCs w:val="22"/>
        </w:rPr>
      </w:pPr>
      <w:r w:rsidRPr="00214730">
        <w:rPr>
          <w:rFonts w:ascii="Arial" w:hAnsi="Arial" w:cs="Arial"/>
          <w:b/>
          <w:bCs/>
          <w:sz w:val="22"/>
          <w:szCs w:val="22"/>
        </w:rPr>
        <w:t xml:space="preserve">Enhanced </w:t>
      </w:r>
      <w:r w:rsidR="0048489A" w:rsidRPr="00214730">
        <w:rPr>
          <w:rFonts w:ascii="Arial" w:hAnsi="Arial" w:cs="Arial"/>
          <w:b/>
          <w:bCs/>
          <w:sz w:val="22"/>
          <w:szCs w:val="22"/>
        </w:rPr>
        <w:t>capital allowances</w:t>
      </w:r>
      <w:r w:rsidR="00334795" w:rsidRPr="00214730">
        <w:rPr>
          <w:rFonts w:ascii="Arial" w:hAnsi="Arial" w:cs="Arial"/>
          <w:b/>
          <w:bCs/>
          <w:sz w:val="22"/>
          <w:szCs w:val="22"/>
        </w:rPr>
        <w:t>:</w:t>
      </w:r>
      <w:r w:rsidRPr="00214730">
        <w:rPr>
          <w:rFonts w:ascii="Arial" w:hAnsi="Arial" w:cs="Arial"/>
          <w:b/>
          <w:bCs/>
          <w:sz w:val="22"/>
          <w:szCs w:val="22"/>
        </w:rPr>
        <w:t xml:space="preserve"> super deduction </w:t>
      </w:r>
    </w:p>
    <w:p w14:paraId="4A586694" w14:textId="192F691C" w:rsidR="00FA001F" w:rsidRDefault="0048489A" w:rsidP="00214730">
      <w:pPr>
        <w:rPr>
          <w:rFonts w:ascii="Arial" w:hAnsi="Arial" w:cs="Arial"/>
          <w:sz w:val="22"/>
          <w:szCs w:val="22"/>
        </w:rPr>
      </w:pPr>
      <w:r w:rsidRPr="00214730">
        <w:rPr>
          <w:rFonts w:ascii="Arial" w:hAnsi="Arial" w:cs="Arial"/>
          <w:sz w:val="22"/>
          <w:szCs w:val="22"/>
        </w:rPr>
        <w:t>This i</w:t>
      </w:r>
      <w:r w:rsidR="00FA001F" w:rsidRPr="00214730">
        <w:rPr>
          <w:rFonts w:ascii="Arial" w:hAnsi="Arial" w:cs="Arial"/>
          <w:sz w:val="22"/>
          <w:szCs w:val="22"/>
        </w:rPr>
        <w:t>ntroduces increased reliefs for expenditure on plant and machinery. For qualifying expenditures incurred from 1 April 2021 up to and including 31 March 2023, companies can claim in the period of investment:</w:t>
      </w:r>
    </w:p>
    <w:p w14:paraId="4AE004E1" w14:textId="77777777" w:rsidR="00214730" w:rsidRPr="00214730" w:rsidRDefault="00214730" w:rsidP="00214730">
      <w:pPr>
        <w:rPr>
          <w:rFonts w:ascii="Arial" w:hAnsi="Arial" w:cs="Arial"/>
          <w:b/>
          <w:bCs/>
          <w:sz w:val="22"/>
          <w:szCs w:val="22"/>
          <w:lang w:eastAsia="en-GB"/>
        </w:rPr>
      </w:pPr>
    </w:p>
    <w:p w14:paraId="3C640A5E" w14:textId="233DA0C2" w:rsidR="00FA001F" w:rsidRPr="00214730" w:rsidRDefault="00FA001F" w:rsidP="00214730">
      <w:pPr>
        <w:numPr>
          <w:ilvl w:val="0"/>
          <w:numId w:val="28"/>
        </w:numPr>
        <w:rPr>
          <w:rFonts w:ascii="Arial" w:hAnsi="Arial" w:cs="Arial"/>
          <w:sz w:val="22"/>
          <w:szCs w:val="22"/>
        </w:rPr>
      </w:pPr>
      <w:r w:rsidRPr="00214730">
        <w:rPr>
          <w:rFonts w:ascii="Arial" w:hAnsi="Arial" w:cs="Arial"/>
          <w:sz w:val="22"/>
          <w:szCs w:val="22"/>
        </w:rPr>
        <w:t>a super-deduction providing allowances of 130% on most new plant and machinery investments that ordinarily qualify for 18% main</w:t>
      </w:r>
      <w:r w:rsidR="0048489A" w:rsidRPr="00214730">
        <w:rPr>
          <w:rFonts w:ascii="Arial" w:hAnsi="Arial" w:cs="Arial"/>
          <w:sz w:val="22"/>
          <w:szCs w:val="22"/>
        </w:rPr>
        <w:t>-</w:t>
      </w:r>
      <w:r w:rsidRPr="00214730">
        <w:rPr>
          <w:rFonts w:ascii="Arial" w:hAnsi="Arial" w:cs="Arial"/>
          <w:sz w:val="22"/>
          <w:szCs w:val="22"/>
        </w:rPr>
        <w:t>rate writing</w:t>
      </w:r>
      <w:r w:rsidR="0048489A" w:rsidRPr="00214730">
        <w:rPr>
          <w:rFonts w:ascii="Arial" w:hAnsi="Arial" w:cs="Arial"/>
          <w:sz w:val="22"/>
          <w:szCs w:val="22"/>
        </w:rPr>
        <w:t>-</w:t>
      </w:r>
      <w:r w:rsidRPr="00214730">
        <w:rPr>
          <w:rFonts w:ascii="Arial" w:hAnsi="Arial" w:cs="Arial"/>
          <w:sz w:val="22"/>
          <w:szCs w:val="22"/>
        </w:rPr>
        <w:t xml:space="preserve">down allowances </w:t>
      </w:r>
    </w:p>
    <w:p w14:paraId="3F5A2639" w14:textId="3C06BACC" w:rsidR="00791B9B" w:rsidRPr="00214730" w:rsidRDefault="00FA001F" w:rsidP="00214730">
      <w:pPr>
        <w:numPr>
          <w:ilvl w:val="0"/>
          <w:numId w:val="28"/>
        </w:numPr>
        <w:rPr>
          <w:rFonts w:ascii="Arial" w:hAnsi="Arial" w:cs="Arial"/>
          <w:sz w:val="22"/>
          <w:szCs w:val="22"/>
        </w:rPr>
      </w:pPr>
      <w:r w:rsidRPr="00214730">
        <w:rPr>
          <w:rFonts w:ascii="Arial" w:hAnsi="Arial" w:cs="Arial"/>
          <w:sz w:val="22"/>
          <w:szCs w:val="22"/>
        </w:rPr>
        <w:t>a first</w:t>
      </w:r>
      <w:r w:rsidR="0048489A" w:rsidRPr="00214730">
        <w:rPr>
          <w:rFonts w:ascii="Arial" w:hAnsi="Arial" w:cs="Arial"/>
          <w:sz w:val="22"/>
          <w:szCs w:val="22"/>
        </w:rPr>
        <w:t>-</w:t>
      </w:r>
      <w:r w:rsidRPr="00214730">
        <w:rPr>
          <w:rFonts w:ascii="Arial" w:hAnsi="Arial" w:cs="Arial"/>
          <w:sz w:val="22"/>
          <w:szCs w:val="22"/>
        </w:rPr>
        <w:t>year allowance of 50% on most new plant and machinery investments that ordinarily qualify for 6% special rate writing down allowances</w:t>
      </w:r>
    </w:p>
    <w:p w14:paraId="0C459DA2" w14:textId="77777777" w:rsidR="00214730" w:rsidRDefault="00214730" w:rsidP="00214730">
      <w:pPr>
        <w:rPr>
          <w:rFonts w:ascii="Arial" w:hAnsi="Arial" w:cs="Arial"/>
          <w:b/>
          <w:sz w:val="22"/>
          <w:szCs w:val="22"/>
        </w:rPr>
      </w:pPr>
    </w:p>
    <w:p w14:paraId="22F12974" w14:textId="236E9DC7" w:rsidR="00FC5354" w:rsidRPr="00214730" w:rsidRDefault="00FC5354" w:rsidP="00214730">
      <w:pPr>
        <w:rPr>
          <w:rFonts w:ascii="Arial" w:hAnsi="Arial" w:cs="Arial"/>
          <w:b/>
          <w:sz w:val="22"/>
          <w:szCs w:val="22"/>
        </w:rPr>
      </w:pPr>
      <w:r w:rsidRPr="00214730">
        <w:rPr>
          <w:rFonts w:ascii="Arial" w:hAnsi="Arial" w:cs="Arial"/>
          <w:b/>
          <w:sz w:val="22"/>
          <w:szCs w:val="22"/>
        </w:rPr>
        <w:lastRenderedPageBreak/>
        <w:t xml:space="preserve">Annual </w:t>
      </w:r>
      <w:r w:rsidR="00214730">
        <w:rPr>
          <w:rFonts w:ascii="Arial" w:hAnsi="Arial" w:cs="Arial"/>
          <w:b/>
          <w:sz w:val="22"/>
          <w:szCs w:val="22"/>
        </w:rPr>
        <w:t>I</w:t>
      </w:r>
      <w:r w:rsidRPr="00214730">
        <w:rPr>
          <w:rFonts w:ascii="Arial" w:hAnsi="Arial" w:cs="Arial"/>
          <w:b/>
          <w:sz w:val="22"/>
          <w:szCs w:val="22"/>
        </w:rPr>
        <w:t xml:space="preserve">nvestment </w:t>
      </w:r>
      <w:r w:rsidR="00214730">
        <w:rPr>
          <w:rFonts w:ascii="Arial" w:hAnsi="Arial" w:cs="Arial"/>
          <w:b/>
          <w:sz w:val="22"/>
          <w:szCs w:val="22"/>
        </w:rPr>
        <w:t>A</w:t>
      </w:r>
      <w:r w:rsidRPr="00214730">
        <w:rPr>
          <w:rFonts w:ascii="Arial" w:hAnsi="Arial" w:cs="Arial"/>
          <w:b/>
          <w:sz w:val="22"/>
          <w:szCs w:val="22"/>
        </w:rPr>
        <w:t>llowance</w:t>
      </w:r>
      <w:r w:rsidR="00791B9B" w:rsidRPr="00214730">
        <w:rPr>
          <w:rFonts w:ascii="Arial" w:hAnsi="Arial" w:cs="Arial"/>
          <w:b/>
          <w:sz w:val="22"/>
          <w:szCs w:val="22"/>
        </w:rPr>
        <w:t xml:space="preserve"> (AIA)</w:t>
      </w:r>
    </w:p>
    <w:p w14:paraId="18D01A8A" w14:textId="3A0E6E95" w:rsidR="008D1CAC" w:rsidRPr="00214730" w:rsidRDefault="00A43478" w:rsidP="00214730">
      <w:pPr>
        <w:rPr>
          <w:rFonts w:ascii="Arial" w:eastAsiaTheme="minorHAnsi" w:hAnsi="Arial" w:cs="Arial"/>
          <w:sz w:val="22"/>
          <w:szCs w:val="22"/>
        </w:rPr>
      </w:pPr>
      <w:r w:rsidRPr="00214730">
        <w:rPr>
          <w:rFonts w:ascii="Arial" w:hAnsi="Arial" w:cs="Arial"/>
          <w:sz w:val="22"/>
          <w:szCs w:val="22"/>
          <w:shd w:val="clear" w:color="auto" w:fill="FFFFFF"/>
        </w:rPr>
        <w:t>Annual Investment Allowance of £1m was due to end by December 2021. This will now be extended until 31 March 2023. Businesses will therefore have longer to consider bringing forward capital investments of between £200,000 and £1m, accessing upfront support by claiming tax relief on such costs in the year of investment.</w:t>
      </w:r>
    </w:p>
    <w:p w14:paraId="0296D9FB" w14:textId="62B1C9F4" w:rsidR="009B55A9" w:rsidRPr="00214730" w:rsidRDefault="009B55A9" w:rsidP="00214730">
      <w:pPr>
        <w:rPr>
          <w:rFonts w:ascii="Arial" w:hAnsi="Arial" w:cs="Arial"/>
          <w:b/>
          <w:color w:val="FF0000"/>
          <w:sz w:val="22"/>
          <w:szCs w:val="22"/>
        </w:rPr>
      </w:pPr>
    </w:p>
    <w:p w14:paraId="27C37A1A" w14:textId="77777777" w:rsidR="00DA54F1" w:rsidRPr="00214730" w:rsidRDefault="00DA54F1" w:rsidP="00214730">
      <w:pPr>
        <w:pStyle w:val="NormalWeb"/>
        <w:shd w:val="clear" w:color="auto" w:fill="FFFFFF"/>
        <w:spacing w:before="0" w:beforeAutospacing="0" w:after="0" w:afterAutospacing="0"/>
        <w:rPr>
          <w:rFonts w:ascii="Arial" w:hAnsi="Arial" w:cs="Arial"/>
          <w:b/>
          <w:bCs/>
          <w:color w:val="242424"/>
          <w:sz w:val="22"/>
          <w:szCs w:val="22"/>
        </w:rPr>
      </w:pPr>
      <w:r w:rsidRPr="00214730">
        <w:rPr>
          <w:rFonts w:ascii="Arial" w:hAnsi="Arial" w:cs="Arial"/>
          <w:b/>
          <w:bCs/>
          <w:color w:val="242424"/>
          <w:sz w:val="22"/>
          <w:szCs w:val="22"/>
        </w:rPr>
        <w:t xml:space="preserve">Rates </w:t>
      </w:r>
    </w:p>
    <w:p w14:paraId="37E0730F" w14:textId="77777777" w:rsidR="00214730" w:rsidRDefault="00A244A0" w:rsidP="00214730">
      <w:pPr>
        <w:pStyle w:val="NormalWeb"/>
        <w:shd w:val="clear" w:color="auto" w:fill="FFFFFF"/>
        <w:spacing w:before="0" w:beforeAutospacing="0" w:after="0" w:afterAutospacing="0"/>
        <w:rPr>
          <w:rFonts w:ascii="Arial" w:hAnsi="Arial" w:cs="Arial"/>
          <w:color w:val="242424"/>
          <w:sz w:val="22"/>
          <w:szCs w:val="22"/>
        </w:rPr>
      </w:pPr>
      <w:r w:rsidRPr="00214730">
        <w:rPr>
          <w:rFonts w:ascii="Arial" w:hAnsi="Arial" w:cs="Arial"/>
          <w:color w:val="242424"/>
          <w:sz w:val="22"/>
          <w:szCs w:val="22"/>
        </w:rPr>
        <w:t>Business rates in England will move to a more frequent revaluation cycle of every three years from 2023. A new temporary relief of 50% (up to £110,000) will be introduced for retail, hospitality and leisure properties in 2022/23. The rate multiplier will also be frozen for 2022/23.</w:t>
      </w:r>
      <w:r w:rsidR="00214730">
        <w:rPr>
          <w:rFonts w:ascii="Arial" w:hAnsi="Arial" w:cs="Arial"/>
          <w:color w:val="242424"/>
          <w:sz w:val="22"/>
          <w:szCs w:val="22"/>
        </w:rPr>
        <w:t xml:space="preserve"> </w:t>
      </w:r>
    </w:p>
    <w:p w14:paraId="0A6ED678" w14:textId="77777777" w:rsidR="00214730" w:rsidRDefault="00214730" w:rsidP="00214730">
      <w:pPr>
        <w:pStyle w:val="NormalWeb"/>
        <w:shd w:val="clear" w:color="auto" w:fill="FFFFFF"/>
        <w:spacing w:before="0" w:beforeAutospacing="0" w:after="0" w:afterAutospacing="0"/>
        <w:rPr>
          <w:rFonts w:ascii="Arial" w:hAnsi="Arial" w:cs="Arial"/>
          <w:color w:val="242424"/>
          <w:sz w:val="22"/>
          <w:szCs w:val="22"/>
        </w:rPr>
      </w:pPr>
    </w:p>
    <w:p w14:paraId="2CC4AAEF" w14:textId="38AAC5B1" w:rsidR="00A244A0" w:rsidRPr="00214730" w:rsidRDefault="00A244A0" w:rsidP="00214730">
      <w:pPr>
        <w:pStyle w:val="NormalWeb"/>
        <w:shd w:val="clear" w:color="auto" w:fill="FFFFFF"/>
        <w:spacing w:before="0" w:beforeAutospacing="0" w:after="0" w:afterAutospacing="0"/>
        <w:rPr>
          <w:rFonts w:ascii="Arial" w:hAnsi="Arial" w:cs="Arial"/>
          <w:color w:val="242424"/>
          <w:sz w:val="22"/>
          <w:szCs w:val="22"/>
        </w:rPr>
      </w:pPr>
      <w:r w:rsidRPr="00214730">
        <w:rPr>
          <w:rFonts w:ascii="Arial" w:hAnsi="Arial" w:cs="Arial"/>
          <w:color w:val="242424"/>
          <w:sz w:val="22"/>
          <w:szCs w:val="22"/>
        </w:rPr>
        <w:t>Multipliers, revaluations and reliefs for the devolved nations remain subject to policy decisions by devolved governments.</w:t>
      </w:r>
    </w:p>
    <w:p w14:paraId="30DC326A" w14:textId="77777777" w:rsidR="00E75062" w:rsidRPr="00214730" w:rsidRDefault="00E75062" w:rsidP="00214730">
      <w:pPr>
        <w:pStyle w:val="NormalWeb"/>
        <w:shd w:val="clear" w:color="auto" w:fill="FFFFFF"/>
        <w:spacing w:before="0" w:beforeAutospacing="0" w:after="0" w:afterAutospacing="0"/>
        <w:rPr>
          <w:rFonts w:ascii="Arial" w:hAnsi="Arial" w:cs="Arial"/>
          <w:color w:val="242424"/>
          <w:sz w:val="22"/>
          <w:szCs w:val="22"/>
        </w:rPr>
      </w:pPr>
    </w:p>
    <w:p w14:paraId="0FDE5118" w14:textId="27563280" w:rsidR="00A244A0" w:rsidRPr="00214730" w:rsidRDefault="00A244A0" w:rsidP="00214730">
      <w:pPr>
        <w:pStyle w:val="NormalWeb"/>
        <w:shd w:val="clear" w:color="auto" w:fill="FFFFFF"/>
        <w:spacing w:before="0" w:beforeAutospacing="0" w:after="0" w:afterAutospacing="0"/>
        <w:rPr>
          <w:rFonts w:ascii="Arial" w:hAnsi="Arial" w:cs="Arial"/>
          <w:color w:val="242424"/>
          <w:sz w:val="22"/>
          <w:szCs w:val="22"/>
        </w:rPr>
      </w:pPr>
      <w:r w:rsidRPr="00214730">
        <w:rPr>
          <w:rFonts w:ascii="Arial" w:hAnsi="Arial" w:cs="Arial"/>
          <w:color w:val="242424"/>
          <w:sz w:val="22"/>
          <w:szCs w:val="22"/>
        </w:rPr>
        <w:t>From 2023 a new rates investment relief will be available to ensure qualifying property improvements do not result in a higher rates liability for a year following improvements, to support investments in green technologies, improvements to productivity and expansion of premises. </w:t>
      </w:r>
    </w:p>
    <w:p w14:paraId="4759965F" w14:textId="77777777" w:rsidR="00A244A0" w:rsidRPr="00214730" w:rsidRDefault="00A244A0" w:rsidP="00214730">
      <w:pPr>
        <w:rPr>
          <w:rFonts w:ascii="Arial" w:hAnsi="Arial" w:cs="Arial"/>
          <w:b/>
          <w:color w:val="FF0000"/>
          <w:sz w:val="22"/>
          <w:szCs w:val="22"/>
        </w:rPr>
      </w:pPr>
    </w:p>
    <w:p w14:paraId="65210E2A" w14:textId="5D1640BE" w:rsidR="00673DCC" w:rsidRPr="00214730" w:rsidRDefault="00673DCC" w:rsidP="00214730">
      <w:pPr>
        <w:rPr>
          <w:rFonts w:ascii="Arial" w:hAnsi="Arial" w:cs="Arial"/>
          <w:b/>
          <w:sz w:val="22"/>
          <w:szCs w:val="22"/>
        </w:rPr>
      </w:pPr>
      <w:r w:rsidRPr="00214730">
        <w:rPr>
          <w:rFonts w:ascii="Arial" w:hAnsi="Arial" w:cs="Arial"/>
          <w:b/>
          <w:sz w:val="22"/>
          <w:szCs w:val="22"/>
        </w:rPr>
        <w:t xml:space="preserve">Recovery Loan Scheme </w:t>
      </w:r>
    </w:p>
    <w:p w14:paraId="30EE79CD" w14:textId="0BF6C66B" w:rsidR="00673DCC" w:rsidRPr="00214730" w:rsidRDefault="00673DCC" w:rsidP="00214730">
      <w:pPr>
        <w:shd w:val="clear" w:color="auto" w:fill="FFFFFF"/>
        <w:rPr>
          <w:rFonts w:ascii="Arial" w:hAnsi="Arial" w:cs="Arial"/>
          <w:color w:val="0B0C0C"/>
          <w:sz w:val="22"/>
          <w:szCs w:val="22"/>
          <w:lang w:eastAsia="en-GB"/>
        </w:rPr>
      </w:pPr>
      <w:r w:rsidRPr="00214730">
        <w:rPr>
          <w:rFonts w:ascii="Arial" w:hAnsi="Arial" w:cs="Arial"/>
          <w:color w:val="0B0C0C"/>
          <w:sz w:val="22"/>
          <w:szCs w:val="22"/>
          <w:lang w:eastAsia="en-GB"/>
        </w:rPr>
        <w:t xml:space="preserve">The Recovery Loan Scheme is extended </w:t>
      </w:r>
      <w:r w:rsidR="007F5CCF">
        <w:rPr>
          <w:rFonts w:ascii="Arial" w:hAnsi="Arial" w:cs="Arial"/>
          <w:color w:val="0B0C0C"/>
          <w:sz w:val="22"/>
          <w:szCs w:val="22"/>
          <w:lang w:eastAsia="en-GB"/>
        </w:rPr>
        <w:t>six</w:t>
      </w:r>
      <w:r w:rsidR="00444D6A" w:rsidRPr="00214730">
        <w:rPr>
          <w:rFonts w:ascii="Arial" w:hAnsi="Arial" w:cs="Arial"/>
          <w:color w:val="0B0C0C"/>
          <w:sz w:val="22"/>
          <w:szCs w:val="22"/>
          <w:lang w:eastAsia="en-GB"/>
        </w:rPr>
        <w:t xml:space="preserve"> months </w:t>
      </w:r>
      <w:r w:rsidRPr="00214730">
        <w:rPr>
          <w:rFonts w:ascii="Arial" w:hAnsi="Arial" w:cs="Arial"/>
          <w:color w:val="0B0C0C"/>
          <w:sz w:val="22"/>
          <w:szCs w:val="22"/>
          <w:lang w:eastAsia="en-GB"/>
        </w:rPr>
        <w:t>until 30 June 2022</w:t>
      </w:r>
      <w:r w:rsidR="00444D6A" w:rsidRPr="00214730">
        <w:rPr>
          <w:rFonts w:ascii="Arial" w:hAnsi="Arial" w:cs="Arial"/>
          <w:color w:val="0B0C0C"/>
          <w:sz w:val="22"/>
          <w:szCs w:val="22"/>
          <w:lang w:eastAsia="en-GB"/>
        </w:rPr>
        <w:t xml:space="preserve"> for </w:t>
      </w:r>
      <w:r w:rsidRPr="00214730">
        <w:rPr>
          <w:rFonts w:ascii="Arial" w:hAnsi="Arial" w:cs="Arial"/>
          <w:color w:val="0B0C0C"/>
          <w:sz w:val="22"/>
          <w:szCs w:val="22"/>
          <w:lang w:eastAsia="en-GB"/>
        </w:rPr>
        <w:t>small and medium sized enterprises</w:t>
      </w:r>
      <w:r w:rsidR="009B1478" w:rsidRPr="00214730">
        <w:rPr>
          <w:rFonts w:ascii="Arial" w:hAnsi="Arial" w:cs="Arial"/>
          <w:color w:val="0B0C0C"/>
          <w:sz w:val="22"/>
          <w:szCs w:val="22"/>
          <w:lang w:eastAsia="en-GB"/>
        </w:rPr>
        <w:t xml:space="preserve"> and </w:t>
      </w:r>
      <w:r w:rsidR="00F372B6" w:rsidRPr="00214730">
        <w:rPr>
          <w:rFonts w:ascii="Arial" w:hAnsi="Arial" w:cs="Arial"/>
          <w:color w:val="0B0C0C"/>
          <w:sz w:val="22"/>
          <w:szCs w:val="22"/>
          <w:lang w:eastAsia="en-GB"/>
        </w:rPr>
        <w:t xml:space="preserve">from 1 January </w:t>
      </w:r>
      <w:r w:rsidR="00B75FA2" w:rsidRPr="00214730">
        <w:rPr>
          <w:rFonts w:ascii="Arial" w:hAnsi="Arial" w:cs="Arial"/>
          <w:color w:val="0B0C0C"/>
          <w:sz w:val="22"/>
          <w:szCs w:val="22"/>
          <w:lang w:eastAsia="en-GB"/>
        </w:rPr>
        <w:t xml:space="preserve">capped at a finance level of </w:t>
      </w:r>
      <w:r w:rsidRPr="00214730">
        <w:rPr>
          <w:rFonts w:ascii="Arial" w:hAnsi="Arial" w:cs="Arial"/>
          <w:color w:val="0B0C0C"/>
          <w:sz w:val="22"/>
          <w:szCs w:val="22"/>
          <w:lang w:eastAsia="en-GB"/>
        </w:rPr>
        <w:t>£2m per business</w:t>
      </w:r>
      <w:r w:rsidR="00E40114" w:rsidRPr="00214730">
        <w:rPr>
          <w:rFonts w:ascii="Arial" w:hAnsi="Arial" w:cs="Arial"/>
          <w:color w:val="0B0C0C"/>
          <w:sz w:val="22"/>
          <w:szCs w:val="22"/>
          <w:lang w:eastAsia="en-GB"/>
        </w:rPr>
        <w:t xml:space="preserve"> with </w:t>
      </w:r>
      <w:r w:rsidR="0098230A" w:rsidRPr="00214730">
        <w:rPr>
          <w:rFonts w:ascii="Arial" w:hAnsi="Arial" w:cs="Arial"/>
          <w:color w:val="0B0C0C"/>
          <w:sz w:val="22"/>
          <w:szCs w:val="22"/>
          <w:lang w:eastAsia="en-GB"/>
        </w:rPr>
        <w:t>the government</w:t>
      </w:r>
      <w:r w:rsidR="00E40114" w:rsidRPr="00214730">
        <w:rPr>
          <w:rFonts w:ascii="Arial" w:hAnsi="Arial" w:cs="Arial"/>
          <w:color w:val="0B0C0C"/>
          <w:sz w:val="22"/>
          <w:szCs w:val="22"/>
          <w:lang w:eastAsia="en-GB"/>
        </w:rPr>
        <w:t xml:space="preserve"> </w:t>
      </w:r>
      <w:r w:rsidR="00E40114" w:rsidRPr="00214730">
        <w:rPr>
          <w:rFonts w:ascii="Arial" w:hAnsi="Arial" w:cs="Arial"/>
          <w:color w:val="0B0C0C"/>
          <w:sz w:val="22"/>
          <w:szCs w:val="22"/>
          <w:shd w:val="clear" w:color="auto" w:fill="FFFFFF"/>
        </w:rPr>
        <w:t>guarantee reduc</w:t>
      </w:r>
      <w:r w:rsidR="0098230A" w:rsidRPr="00214730">
        <w:rPr>
          <w:rFonts w:ascii="Arial" w:hAnsi="Arial" w:cs="Arial"/>
          <w:color w:val="0B0C0C"/>
          <w:sz w:val="22"/>
          <w:szCs w:val="22"/>
          <w:shd w:val="clear" w:color="auto" w:fill="FFFFFF"/>
        </w:rPr>
        <w:t>ing</w:t>
      </w:r>
      <w:r w:rsidR="00E40114" w:rsidRPr="00214730">
        <w:rPr>
          <w:rFonts w:ascii="Arial" w:hAnsi="Arial" w:cs="Arial"/>
          <w:color w:val="0B0C0C"/>
          <w:sz w:val="22"/>
          <w:szCs w:val="22"/>
          <w:shd w:val="clear" w:color="auto" w:fill="FFFFFF"/>
        </w:rPr>
        <w:t xml:space="preserve"> to 70%</w:t>
      </w:r>
      <w:r w:rsidR="0098230A" w:rsidRPr="00214730">
        <w:rPr>
          <w:rFonts w:ascii="Arial" w:hAnsi="Arial" w:cs="Arial"/>
          <w:color w:val="0B0C0C"/>
          <w:sz w:val="22"/>
          <w:szCs w:val="22"/>
          <w:shd w:val="clear" w:color="auto" w:fill="FFFFFF"/>
        </w:rPr>
        <w:t>.</w:t>
      </w:r>
    </w:p>
    <w:p w14:paraId="640553C2" w14:textId="77777777" w:rsidR="00673DCC" w:rsidRPr="00214730" w:rsidRDefault="00673DCC" w:rsidP="00214730">
      <w:pPr>
        <w:rPr>
          <w:rFonts w:ascii="Arial" w:hAnsi="Arial" w:cs="Arial"/>
          <w:b/>
          <w:color w:val="FF0000"/>
          <w:sz w:val="22"/>
          <w:szCs w:val="22"/>
        </w:rPr>
      </w:pPr>
    </w:p>
    <w:p w14:paraId="599D8462" w14:textId="69DF6FAD" w:rsidR="000C10D5" w:rsidRPr="00214730" w:rsidRDefault="000C10D5" w:rsidP="00214730">
      <w:pPr>
        <w:rPr>
          <w:rFonts w:ascii="Arial" w:hAnsi="Arial" w:cs="Arial"/>
          <w:b/>
          <w:sz w:val="22"/>
          <w:szCs w:val="22"/>
        </w:rPr>
      </w:pPr>
      <w:r w:rsidRPr="00214730">
        <w:rPr>
          <w:rFonts w:ascii="Arial" w:hAnsi="Arial" w:cs="Arial"/>
          <w:b/>
          <w:sz w:val="22"/>
          <w:szCs w:val="22"/>
        </w:rPr>
        <w:t>Apprenticeship funding</w:t>
      </w:r>
    </w:p>
    <w:p w14:paraId="4E3861D1" w14:textId="29754406" w:rsidR="001C7011" w:rsidRPr="00214730" w:rsidRDefault="00273251" w:rsidP="00214730">
      <w:pPr>
        <w:pStyle w:val="NormalWeb"/>
        <w:shd w:val="clear" w:color="auto" w:fill="FFFFFF"/>
        <w:spacing w:before="0" w:beforeAutospacing="0" w:after="0" w:afterAutospacing="0"/>
        <w:rPr>
          <w:rFonts w:ascii="Arial" w:hAnsi="Arial" w:cs="Arial"/>
          <w:sz w:val="22"/>
          <w:szCs w:val="22"/>
        </w:rPr>
      </w:pPr>
      <w:r w:rsidRPr="00214730">
        <w:rPr>
          <w:rFonts w:ascii="Arial" w:hAnsi="Arial" w:cs="Arial"/>
          <w:sz w:val="22"/>
          <w:szCs w:val="22"/>
        </w:rPr>
        <w:t>I</w:t>
      </w:r>
      <w:r w:rsidR="001C7011" w:rsidRPr="00214730">
        <w:rPr>
          <w:rFonts w:ascii="Arial" w:hAnsi="Arial" w:cs="Arial"/>
          <w:sz w:val="22"/>
          <w:szCs w:val="22"/>
        </w:rPr>
        <w:t xml:space="preserve">n England, the government will continue to meet 95% of the apprenticeship training cost for employers who do not pay the Apprenticeship Levy. </w:t>
      </w:r>
      <w:r w:rsidRPr="00214730">
        <w:rPr>
          <w:rFonts w:ascii="Arial" w:hAnsi="Arial" w:cs="Arial"/>
          <w:sz w:val="22"/>
          <w:szCs w:val="22"/>
        </w:rPr>
        <w:t xml:space="preserve">The </w:t>
      </w:r>
      <w:r w:rsidR="001C7011" w:rsidRPr="00214730">
        <w:rPr>
          <w:rFonts w:ascii="Arial" w:hAnsi="Arial" w:cs="Arial"/>
          <w:sz w:val="22"/>
          <w:szCs w:val="22"/>
        </w:rPr>
        <w:t>£3,000 apprenticeship hiring incentive payment (per new hire) has been extended</w:t>
      </w:r>
      <w:r w:rsidR="00BE3462" w:rsidRPr="00214730">
        <w:rPr>
          <w:rFonts w:ascii="Arial" w:hAnsi="Arial" w:cs="Arial"/>
          <w:sz w:val="22"/>
          <w:szCs w:val="22"/>
        </w:rPr>
        <w:t xml:space="preserve"> </w:t>
      </w:r>
      <w:r w:rsidR="00214730">
        <w:rPr>
          <w:rFonts w:ascii="Arial" w:hAnsi="Arial" w:cs="Arial"/>
          <w:sz w:val="22"/>
          <w:szCs w:val="22"/>
        </w:rPr>
        <w:t>four</w:t>
      </w:r>
      <w:r w:rsidR="00BE3462" w:rsidRPr="00214730">
        <w:rPr>
          <w:rFonts w:ascii="Arial" w:hAnsi="Arial" w:cs="Arial"/>
          <w:sz w:val="22"/>
          <w:szCs w:val="22"/>
        </w:rPr>
        <w:t xml:space="preserve"> months</w:t>
      </w:r>
      <w:r w:rsidR="007B2E07" w:rsidRPr="00214730">
        <w:rPr>
          <w:rFonts w:ascii="Arial" w:hAnsi="Arial" w:cs="Arial"/>
          <w:sz w:val="22"/>
          <w:szCs w:val="22"/>
        </w:rPr>
        <w:t xml:space="preserve"> to </w:t>
      </w:r>
      <w:r w:rsidR="001C7011" w:rsidRPr="00214730">
        <w:rPr>
          <w:rFonts w:ascii="Arial" w:hAnsi="Arial" w:cs="Arial"/>
          <w:sz w:val="22"/>
          <w:szCs w:val="22"/>
        </w:rPr>
        <w:t>31 January 2022.</w:t>
      </w:r>
    </w:p>
    <w:p w14:paraId="640D64CB" w14:textId="77777777" w:rsidR="001C7011" w:rsidRPr="00214730" w:rsidRDefault="001C7011" w:rsidP="00214730">
      <w:pPr>
        <w:shd w:val="clear" w:color="auto" w:fill="FFFFFF"/>
        <w:rPr>
          <w:rFonts w:ascii="Arial" w:hAnsi="Arial" w:cs="Arial"/>
          <w:color w:val="242424"/>
          <w:sz w:val="22"/>
          <w:szCs w:val="22"/>
          <w:lang w:eastAsia="en-GB"/>
        </w:rPr>
      </w:pPr>
    </w:p>
    <w:p w14:paraId="70E09FBA" w14:textId="517A421F" w:rsidR="001C7011" w:rsidRPr="00214730" w:rsidRDefault="001C7011" w:rsidP="00214730">
      <w:pPr>
        <w:shd w:val="clear" w:color="auto" w:fill="FFFFFF"/>
        <w:rPr>
          <w:rFonts w:ascii="Arial" w:hAnsi="Arial" w:cs="Arial"/>
          <w:color w:val="242424"/>
          <w:sz w:val="22"/>
          <w:szCs w:val="22"/>
          <w:lang w:eastAsia="en-GB"/>
        </w:rPr>
      </w:pPr>
      <w:r w:rsidRPr="00214730">
        <w:rPr>
          <w:rFonts w:ascii="Arial" w:hAnsi="Arial" w:cs="Arial"/>
          <w:color w:val="242424"/>
          <w:sz w:val="22"/>
          <w:szCs w:val="22"/>
          <w:lang w:eastAsia="en-GB"/>
        </w:rPr>
        <w:t xml:space="preserve">In Wales, apprenticeships are funded by the Welsh government, and apprenticeship incentive payments ranging from £1,500 </w:t>
      </w:r>
      <w:r w:rsidR="00214730">
        <w:rPr>
          <w:rFonts w:ascii="Arial" w:hAnsi="Arial" w:cs="Arial"/>
          <w:color w:val="242424"/>
          <w:sz w:val="22"/>
          <w:szCs w:val="22"/>
          <w:lang w:eastAsia="en-GB"/>
        </w:rPr>
        <w:t>–</w:t>
      </w:r>
      <w:r w:rsidRPr="00214730">
        <w:rPr>
          <w:rFonts w:ascii="Arial" w:hAnsi="Arial" w:cs="Arial"/>
          <w:color w:val="242424"/>
          <w:sz w:val="22"/>
          <w:szCs w:val="22"/>
          <w:lang w:eastAsia="en-GB"/>
        </w:rPr>
        <w:t xml:space="preserve"> £4000 are available until 28 February 2022</w:t>
      </w:r>
      <w:r w:rsidR="007B2E07" w:rsidRPr="00214730">
        <w:rPr>
          <w:rFonts w:ascii="Arial" w:hAnsi="Arial" w:cs="Arial"/>
          <w:color w:val="242424"/>
          <w:sz w:val="22"/>
          <w:szCs w:val="22"/>
          <w:lang w:eastAsia="en-GB"/>
        </w:rPr>
        <w:t>.</w:t>
      </w:r>
    </w:p>
    <w:p w14:paraId="745C968E" w14:textId="77777777" w:rsidR="001C7011" w:rsidRPr="00214730" w:rsidRDefault="001C7011" w:rsidP="00214730">
      <w:pPr>
        <w:shd w:val="clear" w:color="auto" w:fill="FFFFFF"/>
        <w:rPr>
          <w:rFonts w:ascii="Arial" w:hAnsi="Arial" w:cs="Arial"/>
          <w:color w:val="242424"/>
          <w:sz w:val="22"/>
          <w:szCs w:val="22"/>
          <w:lang w:eastAsia="en-GB"/>
        </w:rPr>
      </w:pPr>
    </w:p>
    <w:p w14:paraId="1F08CCAF" w14:textId="5548784B" w:rsidR="001C7011" w:rsidRPr="00214730" w:rsidRDefault="001C7011" w:rsidP="00214730">
      <w:pPr>
        <w:shd w:val="clear" w:color="auto" w:fill="FFFFFF"/>
        <w:rPr>
          <w:rFonts w:ascii="Arial" w:hAnsi="Arial" w:cs="Arial"/>
          <w:color w:val="242424"/>
          <w:sz w:val="22"/>
          <w:szCs w:val="22"/>
          <w:lang w:eastAsia="en-GB"/>
        </w:rPr>
      </w:pPr>
      <w:r w:rsidRPr="00214730">
        <w:rPr>
          <w:rFonts w:ascii="Arial" w:hAnsi="Arial" w:cs="Arial"/>
          <w:color w:val="242424"/>
          <w:sz w:val="22"/>
          <w:szCs w:val="22"/>
          <w:lang w:eastAsia="en-GB"/>
        </w:rPr>
        <w:t xml:space="preserve">In Scotland, the type of funding you can access will depend on the type of apprenticeship. Additionally, the Adopt an Apprentice scheme provides employers with £5,000 for employing a redundant apprentice. </w:t>
      </w:r>
    </w:p>
    <w:p w14:paraId="0A5BF5F7" w14:textId="77777777" w:rsidR="008D1CAC" w:rsidRPr="00214730" w:rsidRDefault="008D1CAC" w:rsidP="00214730">
      <w:pPr>
        <w:rPr>
          <w:rFonts w:ascii="Arial" w:hAnsi="Arial" w:cs="Arial"/>
          <w:color w:val="FF0000"/>
          <w:sz w:val="22"/>
          <w:szCs w:val="22"/>
        </w:rPr>
      </w:pPr>
    </w:p>
    <w:p w14:paraId="0E3CBE10" w14:textId="604647E0" w:rsidR="00216A34" w:rsidRPr="00214730" w:rsidRDefault="00216A34" w:rsidP="00214730">
      <w:pPr>
        <w:rPr>
          <w:rFonts w:ascii="Arial" w:hAnsi="Arial" w:cs="Arial"/>
          <w:bCs/>
          <w:iCs/>
          <w:sz w:val="22"/>
          <w:szCs w:val="22"/>
        </w:rPr>
      </w:pPr>
      <w:r w:rsidRPr="00214730">
        <w:rPr>
          <w:rFonts w:ascii="Arial" w:hAnsi="Arial" w:cs="Arial"/>
          <w:b/>
          <w:bCs/>
          <w:iCs/>
          <w:sz w:val="22"/>
          <w:szCs w:val="22"/>
        </w:rPr>
        <w:t xml:space="preserve">Making </w:t>
      </w:r>
      <w:r w:rsidR="00214730">
        <w:rPr>
          <w:rFonts w:ascii="Arial" w:hAnsi="Arial" w:cs="Arial"/>
          <w:b/>
          <w:bCs/>
          <w:iCs/>
          <w:sz w:val="22"/>
          <w:szCs w:val="22"/>
        </w:rPr>
        <w:t>T</w:t>
      </w:r>
      <w:r w:rsidRPr="00214730">
        <w:rPr>
          <w:rFonts w:ascii="Arial" w:hAnsi="Arial" w:cs="Arial"/>
          <w:b/>
          <w:bCs/>
          <w:iCs/>
          <w:sz w:val="22"/>
          <w:szCs w:val="22"/>
        </w:rPr>
        <w:t xml:space="preserve">ax </w:t>
      </w:r>
      <w:r w:rsidR="00214730">
        <w:rPr>
          <w:rFonts w:ascii="Arial" w:hAnsi="Arial" w:cs="Arial"/>
          <w:b/>
          <w:bCs/>
          <w:iCs/>
          <w:sz w:val="22"/>
          <w:szCs w:val="22"/>
        </w:rPr>
        <w:t>D</w:t>
      </w:r>
      <w:r w:rsidRPr="00214730">
        <w:rPr>
          <w:rFonts w:ascii="Arial" w:hAnsi="Arial" w:cs="Arial"/>
          <w:b/>
          <w:bCs/>
          <w:iCs/>
          <w:sz w:val="22"/>
          <w:szCs w:val="22"/>
        </w:rPr>
        <w:t xml:space="preserve">igital </w:t>
      </w:r>
      <w:r w:rsidR="0048489A" w:rsidRPr="00214730">
        <w:rPr>
          <w:rFonts w:ascii="Arial" w:hAnsi="Arial" w:cs="Arial"/>
          <w:b/>
          <w:bCs/>
          <w:iCs/>
          <w:sz w:val="22"/>
          <w:szCs w:val="22"/>
        </w:rPr>
        <w:t>(MTD)</w:t>
      </w:r>
    </w:p>
    <w:p w14:paraId="4B543551" w14:textId="51A06B53" w:rsidR="008D1CAC" w:rsidRPr="00214730" w:rsidRDefault="00ED685E" w:rsidP="00214730">
      <w:pPr>
        <w:rPr>
          <w:rFonts w:ascii="Arial" w:hAnsi="Arial" w:cs="Arial"/>
          <w:b/>
          <w:sz w:val="22"/>
          <w:szCs w:val="22"/>
        </w:rPr>
      </w:pPr>
      <w:r w:rsidRPr="00214730">
        <w:rPr>
          <w:rFonts w:ascii="Arial" w:hAnsi="Arial" w:cs="Arial"/>
          <w:sz w:val="22"/>
          <w:szCs w:val="22"/>
        </w:rPr>
        <w:t xml:space="preserve">MTD </w:t>
      </w:r>
      <w:r w:rsidR="00A1406C" w:rsidRPr="00214730">
        <w:rPr>
          <w:rFonts w:ascii="Arial" w:hAnsi="Arial" w:cs="Arial"/>
          <w:sz w:val="22"/>
          <w:szCs w:val="22"/>
        </w:rPr>
        <w:t>for ITSA will be introduced from 6 April 2024</w:t>
      </w:r>
      <w:r w:rsidR="00E94D4C" w:rsidRPr="00214730">
        <w:rPr>
          <w:rFonts w:ascii="Arial" w:hAnsi="Arial" w:cs="Arial"/>
          <w:sz w:val="22"/>
          <w:szCs w:val="22"/>
        </w:rPr>
        <w:t xml:space="preserve">. This impacts </w:t>
      </w:r>
      <w:r w:rsidR="00214730">
        <w:rPr>
          <w:rFonts w:ascii="Arial" w:hAnsi="Arial" w:cs="Arial"/>
          <w:sz w:val="22"/>
          <w:szCs w:val="22"/>
        </w:rPr>
        <w:t>s</w:t>
      </w:r>
      <w:r w:rsidR="00E94D4C" w:rsidRPr="00214730">
        <w:rPr>
          <w:rFonts w:ascii="Arial" w:hAnsi="Arial" w:cs="Arial"/>
          <w:sz w:val="22"/>
          <w:szCs w:val="22"/>
        </w:rPr>
        <w:t xml:space="preserve">ole traders and landlords, with income over £10,000. </w:t>
      </w:r>
      <w:r w:rsidR="00A1406C" w:rsidRPr="00214730">
        <w:rPr>
          <w:rFonts w:ascii="Arial" w:hAnsi="Arial" w:cs="Arial"/>
          <w:sz w:val="22"/>
          <w:szCs w:val="22"/>
        </w:rPr>
        <w:t>General partnerships will not be required to join MTD for ITSA until 6 April 2025.</w:t>
      </w:r>
    </w:p>
    <w:p w14:paraId="788E4588" w14:textId="77777777" w:rsidR="003509D0" w:rsidRPr="00214730" w:rsidRDefault="003509D0" w:rsidP="00214730">
      <w:pPr>
        <w:rPr>
          <w:rFonts w:ascii="Arial" w:hAnsi="Arial" w:cs="Arial"/>
          <w:b/>
          <w:color w:val="FF0000"/>
          <w:sz w:val="22"/>
          <w:szCs w:val="22"/>
          <w:lang w:eastAsia="en-GB"/>
        </w:rPr>
      </w:pPr>
    </w:p>
    <w:p w14:paraId="502E2604" w14:textId="4D578DA0" w:rsidR="00943B44" w:rsidRPr="001B65B2" w:rsidRDefault="003509D0" w:rsidP="00214730">
      <w:pPr>
        <w:rPr>
          <w:rFonts w:ascii="Arial" w:hAnsi="Arial" w:cs="Arial"/>
          <w:b/>
          <w:color w:val="FF0000"/>
          <w:sz w:val="22"/>
          <w:szCs w:val="22"/>
          <w:lang w:eastAsia="en-GB"/>
        </w:rPr>
      </w:pPr>
      <w:r w:rsidRPr="00214730">
        <w:rPr>
          <w:rFonts w:ascii="Arial" w:hAnsi="Arial" w:cs="Arial"/>
          <w:b/>
          <w:sz w:val="22"/>
          <w:szCs w:val="22"/>
          <w:lang w:eastAsia="en-GB"/>
        </w:rPr>
        <w:t>VAT</w:t>
      </w:r>
      <w:r w:rsidR="00D122D1" w:rsidRPr="00214730">
        <w:rPr>
          <w:rFonts w:ascii="Arial" w:hAnsi="Arial" w:cs="Arial"/>
          <w:b/>
          <w:color w:val="FF0000"/>
          <w:sz w:val="22"/>
          <w:szCs w:val="22"/>
          <w:lang w:eastAsia="en-GB"/>
        </w:rPr>
        <w:br/>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6"/>
        <w:gridCol w:w="1830"/>
        <w:gridCol w:w="1672"/>
      </w:tblGrid>
      <w:tr w:rsidR="001B65B2" w:rsidRPr="001B65B2" w14:paraId="77093415" w14:textId="77777777" w:rsidTr="006D4580">
        <w:trPr>
          <w:trHeight w:val="255"/>
        </w:trPr>
        <w:tc>
          <w:tcPr>
            <w:tcW w:w="6436" w:type="dxa"/>
            <w:shd w:val="clear" w:color="auto" w:fill="D9D9D9"/>
            <w:noWrap/>
            <w:vAlign w:val="bottom"/>
          </w:tcPr>
          <w:p w14:paraId="12E5C3BD" w14:textId="604E9EC5" w:rsidR="006D4580" w:rsidRPr="00E75062" w:rsidRDefault="00E75062" w:rsidP="00AF44C6">
            <w:pPr>
              <w:rPr>
                <w:rFonts w:ascii="Arial" w:hAnsi="Arial" w:cs="Arial"/>
                <w:sz w:val="22"/>
                <w:szCs w:val="22"/>
                <w:lang w:eastAsia="en-GB"/>
              </w:rPr>
            </w:pPr>
            <w:r w:rsidRPr="00E75062">
              <w:rPr>
                <w:rFonts w:ascii="Arial" w:hAnsi="Arial" w:cs="Arial"/>
                <w:b/>
                <w:bCs/>
                <w:sz w:val="22"/>
                <w:szCs w:val="22"/>
                <w:lang w:eastAsia="en-GB"/>
              </w:rPr>
              <w:t>VAT</w:t>
            </w:r>
          </w:p>
        </w:tc>
        <w:tc>
          <w:tcPr>
            <w:tcW w:w="1830" w:type="dxa"/>
            <w:shd w:val="clear" w:color="auto" w:fill="D9D9D9"/>
            <w:noWrap/>
            <w:vAlign w:val="bottom"/>
          </w:tcPr>
          <w:p w14:paraId="1392D678" w14:textId="21E6E645" w:rsidR="006D4580" w:rsidRPr="00E75062" w:rsidRDefault="00A96611" w:rsidP="00AF44C6">
            <w:pPr>
              <w:jc w:val="center"/>
              <w:rPr>
                <w:rFonts w:ascii="Arial" w:hAnsi="Arial" w:cs="Arial"/>
                <w:b/>
                <w:bCs/>
                <w:sz w:val="22"/>
                <w:szCs w:val="22"/>
                <w:lang w:eastAsia="en-GB"/>
              </w:rPr>
            </w:pPr>
            <w:r w:rsidRPr="00E75062">
              <w:rPr>
                <w:rFonts w:ascii="Arial" w:hAnsi="Arial" w:cs="Arial"/>
                <w:b/>
                <w:bCs/>
                <w:sz w:val="22"/>
                <w:szCs w:val="22"/>
                <w:lang w:eastAsia="en-GB"/>
              </w:rPr>
              <w:t>20</w:t>
            </w:r>
            <w:r w:rsidR="00DD5942" w:rsidRPr="00E75062">
              <w:rPr>
                <w:rFonts w:ascii="Arial" w:hAnsi="Arial" w:cs="Arial"/>
                <w:b/>
                <w:bCs/>
                <w:sz w:val="22"/>
                <w:szCs w:val="22"/>
                <w:lang w:eastAsia="en-GB"/>
              </w:rPr>
              <w:t>2</w:t>
            </w:r>
            <w:r w:rsidR="00E75062" w:rsidRPr="00E75062">
              <w:rPr>
                <w:rFonts w:ascii="Arial" w:hAnsi="Arial" w:cs="Arial"/>
                <w:b/>
                <w:bCs/>
                <w:sz w:val="22"/>
                <w:szCs w:val="22"/>
                <w:lang w:eastAsia="en-GB"/>
              </w:rPr>
              <w:t>2</w:t>
            </w:r>
            <w:r w:rsidR="008A7577" w:rsidRPr="00E75062">
              <w:rPr>
                <w:rFonts w:ascii="Arial" w:hAnsi="Arial" w:cs="Arial"/>
                <w:b/>
                <w:bCs/>
                <w:sz w:val="22"/>
                <w:szCs w:val="22"/>
                <w:lang w:eastAsia="en-GB"/>
              </w:rPr>
              <w:t>/2</w:t>
            </w:r>
            <w:r w:rsidR="00E75062" w:rsidRPr="00E75062">
              <w:rPr>
                <w:rFonts w:ascii="Arial" w:hAnsi="Arial" w:cs="Arial"/>
                <w:b/>
                <w:bCs/>
                <w:sz w:val="22"/>
                <w:szCs w:val="22"/>
                <w:lang w:eastAsia="en-GB"/>
              </w:rPr>
              <w:t>3</w:t>
            </w:r>
          </w:p>
        </w:tc>
        <w:tc>
          <w:tcPr>
            <w:tcW w:w="1672" w:type="dxa"/>
            <w:shd w:val="clear" w:color="auto" w:fill="D9D9D9"/>
            <w:noWrap/>
            <w:vAlign w:val="bottom"/>
          </w:tcPr>
          <w:p w14:paraId="033A84E7" w14:textId="6F11A55D" w:rsidR="006D4580" w:rsidRPr="00E75062" w:rsidRDefault="00010DA1" w:rsidP="00AF44C6">
            <w:pPr>
              <w:jc w:val="center"/>
              <w:rPr>
                <w:rFonts w:ascii="Arial" w:hAnsi="Arial" w:cs="Arial"/>
                <w:b/>
                <w:bCs/>
                <w:sz w:val="22"/>
                <w:szCs w:val="22"/>
                <w:lang w:eastAsia="en-GB"/>
              </w:rPr>
            </w:pPr>
            <w:r w:rsidRPr="00E75062">
              <w:rPr>
                <w:rFonts w:ascii="Arial" w:hAnsi="Arial" w:cs="Arial"/>
                <w:b/>
                <w:bCs/>
                <w:sz w:val="22"/>
                <w:szCs w:val="22"/>
                <w:lang w:eastAsia="en-GB"/>
              </w:rPr>
              <w:t>20</w:t>
            </w:r>
            <w:r w:rsidR="00E27F90" w:rsidRPr="00E75062">
              <w:rPr>
                <w:rFonts w:ascii="Arial" w:hAnsi="Arial" w:cs="Arial"/>
                <w:b/>
                <w:bCs/>
                <w:sz w:val="22"/>
                <w:szCs w:val="22"/>
                <w:lang w:eastAsia="en-GB"/>
              </w:rPr>
              <w:t>2</w:t>
            </w:r>
            <w:r w:rsidR="00E75062" w:rsidRPr="00E75062">
              <w:rPr>
                <w:rFonts w:ascii="Arial" w:hAnsi="Arial" w:cs="Arial"/>
                <w:b/>
                <w:bCs/>
                <w:sz w:val="22"/>
                <w:szCs w:val="22"/>
                <w:lang w:eastAsia="en-GB"/>
              </w:rPr>
              <w:t>1</w:t>
            </w:r>
            <w:r w:rsidRPr="00E75062">
              <w:rPr>
                <w:rFonts w:ascii="Arial" w:hAnsi="Arial" w:cs="Arial"/>
                <w:b/>
                <w:bCs/>
                <w:sz w:val="22"/>
                <w:szCs w:val="22"/>
                <w:lang w:eastAsia="en-GB"/>
              </w:rPr>
              <w:t>/</w:t>
            </w:r>
            <w:r w:rsidR="00E27F90" w:rsidRPr="00E75062">
              <w:rPr>
                <w:rFonts w:ascii="Arial" w:hAnsi="Arial" w:cs="Arial"/>
                <w:b/>
                <w:bCs/>
                <w:sz w:val="22"/>
                <w:szCs w:val="22"/>
                <w:lang w:eastAsia="en-GB"/>
              </w:rPr>
              <w:t>2</w:t>
            </w:r>
            <w:r w:rsidR="00E75062" w:rsidRPr="00E75062">
              <w:rPr>
                <w:rFonts w:ascii="Arial" w:hAnsi="Arial" w:cs="Arial"/>
                <w:b/>
                <w:bCs/>
                <w:sz w:val="22"/>
                <w:szCs w:val="22"/>
                <w:lang w:eastAsia="en-GB"/>
              </w:rPr>
              <w:t>2</w:t>
            </w:r>
          </w:p>
        </w:tc>
      </w:tr>
      <w:tr w:rsidR="001B65B2" w:rsidRPr="001B65B2" w14:paraId="3B5CC3A6" w14:textId="77777777" w:rsidTr="006D4580">
        <w:trPr>
          <w:trHeight w:val="255"/>
        </w:trPr>
        <w:tc>
          <w:tcPr>
            <w:tcW w:w="6436" w:type="dxa"/>
            <w:noWrap/>
            <w:vAlign w:val="bottom"/>
          </w:tcPr>
          <w:p w14:paraId="711A3CBB" w14:textId="77777777" w:rsidR="006D4580" w:rsidRPr="00E75062" w:rsidRDefault="006D4580" w:rsidP="00AF44C6">
            <w:pPr>
              <w:rPr>
                <w:rFonts w:ascii="Arial" w:hAnsi="Arial" w:cs="Arial"/>
                <w:sz w:val="22"/>
                <w:szCs w:val="22"/>
                <w:lang w:eastAsia="en-GB"/>
              </w:rPr>
            </w:pPr>
            <w:r w:rsidRPr="00E75062">
              <w:rPr>
                <w:rFonts w:ascii="Arial" w:hAnsi="Arial" w:cs="Arial"/>
                <w:sz w:val="22"/>
                <w:szCs w:val="22"/>
                <w:lang w:eastAsia="en-GB"/>
              </w:rPr>
              <w:t>Standard rate</w:t>
            </w:r>
          </w:p>
        </w:tc>
        <w:tc>
          <w:tcPr>
            <w:tcW w:w="1830" w:type="dxa"/>
            <w:noWrap/>
            <w:vAlign w:val="bottom"/>
          </w:tcPr>
          <w:p w14:paraId="1698B511" w14:textId="3FF5DCF6" w:rsidR="006D4580" w:rsidRPr="00E75062" w:rsidRDefault="00DD5942" w:rsidP="00AF44C6">
            <w:pPr>
              <w:jc w:val="center"/>
              <w:rPr>
                <w:rFonts w:ascii="Arial" w:hAnsi="Arial" w:cs="Arial"/>
                <w:sz w:val="22"/>
                <w:szCs w:val="22"/>
                <w:lang w:eastAsia="en-GB"/>
              </w:rPr>
            </w:pPr>
            <w:r w:rsidRPr="00E75062">
              <w:rPr>
                <w:rFonts w:ascii="Arial" w:hAnsi="Arial" w:cs="Arial"/>
                <w:sz w:val="22"/>
                <w:szCs w:val="22"/>
                <w:lang w:eastAsia="en-GB"/>
              </w:rPr>
              <w:t>20%</w:t>
            </w:r>
          </w:p>
        </w:tc>
        <w:tc>
          <w:tcPr>
            <w:tcW w:w="1672" w:type="dxa"/>
            <w:noWrap/>
            <w:vAlign w:val="bottom"/>
          </w:tcPr>
          <w:p w14:paraId="7B670CA3" w14:textId="134F7486" w:rsidR="006D4580" w:rsidRPr="00E75062" w:rsidRDefault="004F7482" w:rsidP="00AF44C6">
            <w:pPr>
              <w:jc w:val="center"/>
              <w:rPr>
                <w:rFonts w:ascii="Arial" w:hAnsi="Arial" w:cs="Arial"/>
                <w:sz w:val="22"/>
                <w:szCs w:val="22"/>
                <w:lang w:eastAsia="en-GB"/>
              </w:rPr>
            </w:pPr>
            <w:r w:rsidRPr="00E75062">
              <w:rPr>
                <w:rFonts w:ascii="Arial" w:hAnsi="Arial" w:cs="Arial"/>
                <w:sz w:val="22"/>
                <w:szCs w:val="22"/>
                <w:lang w:eastAsia="en-GB"/>
              </w:rPr>
              <w:t>20%</w:t>
            </w:r>
          </w:p>
        </w:tc>
      </w:tr>
      <w:tr w:rsidR="001B65B2" w:rsidRPr="001B65B2" w14:paraId="5F3C64C9" w14:textId="77777777" w:rsidTr="006D4580">
        <w:trPr>
          <w:trHeight w:val="255"/>
        </w:trPr>
        <w:tc>
          <w:tcPr>
            <w:tcW w:w="6436" w:type="dxa"/>
            <w:noWrap/>
            <w:vAlign w:val="bottom"/>
          </w:tcPr>
          <w:p w14:paraId="70CA89A6" w14:textId="77777777" w:rsidR="006D4580" w:rsidRPr="00E75062" w:rsidRDefault="006D4580" w:rsidP="00AF44C6">
            <w:pPr>
              <w:rPr>
                <w:rFonts w:ascii="Arial" w:hAnsi="Arial" w:cs="Arial"/>
                <w:sz w:val="22"/>
                <w:szCs w:val="22"/>
                <w:lang w:eastAsia="en-GB"/>
              </w:rPr>
            </w:pPr>
            <w:r w:rsidRPr="00E75062">
              <w:rPr>
                <w:rFonts w:ascii="Arial" w:hAnsi="Arial" w:cs="Arial"/>
                <w:sz w:val="22"/>
                <w:szCs w:val="22"/>
                <w:lang w:eastAsia="en-GB"/>
              </w:rPr>
              <w:t>Registration threshold</w:t>
            </w:r>
          </w:p>
        </w:tc>
        <w:tc>
          <w:tcPr>
            <w:tcW w:w="1830" w:type="dxa"/>
            <w:noWrap/>
            <w:vAlign w:val="bottom"/>
          </w:tcPr>
          <w:p w14:paraId="250F970C" w14:textId="321C9E50" w:rsidR="006D4580" w:rsidRPr="00E75062" w:rsidRDefault="00E75062" w:rsidP="00434DC2">
            <w:pPr>
              <w:jc w:val="center"/>
              <w:rPr>
                <w:rFonts w:ascii="Arial" w:hAnsi="Arial" w:cs="Arial"/>
                <w:sz w:val="22"/>
                <w:szCs w:val="22"/>
                <w:lang w:eastAsia="en-GB"/>
              </w:rPr>
            </w:pPr>
            <w:r w:rsidRPr="00E75062">
              <w:rPr>
                <w:rFonts w:ascii="Arial" w:hAnsi="Arial" w:cs="Arial"/>
                <w:sz w:val="22"/>
                <w:szCs w:val="22"/>
                <w:lang w:eastAsia="en-GB"/>
              </w:rPr>
              <w:t>£</w:t>
            </w:r>
            <w:r w:rsidR="00434DC2" w:rsidRPr="00E75062">
              <w:rPr>
                <w:rFonts w:ascii="Arial" w:hAnsi="Arial" w:cs="Arial"/>
                <w:sz w:val="22"/>
                <w:szCs w:val="22"/>
                <w:lang w:eastAsia="en-GB"/>
              </w:rPr>
              <w:t>85</w:t>
            </w:r>
            <w:r w:rsidR="006D4580" w:rsidRPr="00E75062">
              <w:rPr>
                <w:rFonts w:ascii="Arial" w:hAnsi="Arial" w:cs="Arial"/>
                <w:sz w:val="22"/>
                <w:szCs w:val="22"/>
                <w:lang w:eastAsia="en-GB"/>
              </w:rPr>
              <w:t>,000</w:t>
            </w:r>
          </w:p>
        </w:tc>
        <w:tc>
          <w:tcPr>
            <w:tcW w:w="1672" w:type="dxa"/>
            <w:noWrap/>
            <w:vAlign w:val="bottom"/>
          </w:tcPr>
          <w:p w14:paraId="62227702" w14:textId="7CC9CA97" w:rsidR="006D4580" w:rsidRPr="00E75062" w:rsidRDefault="00E75062" w:rsidP="00AF44C6">
            <w:pPr>
              <w:jc w:val="center"/>
              <w:rPr>
                <w:rFonts w:ascii="Arial" w:hAnsi="Arial" w:cs="Arial"/>
                <w:sz w:val="22"/>
                <w:szCs w:val="22"/>
                <w:lang w:eastAsia="en-GB"/>
              </w:rPr>
            </w:pPr>
            <w:r w:rsidRPr="00E75062">
              <w:rPr>
                <w:rFonts w:ascii="Arial" w:hAnsi="Arial" w:cs="Arial"/>
                <w:sz w:val="22"/>
                <w:szCs w:val="22"/>
                <w:lang w:eastAsia="en-GB"/>
              </w:rPr>
              <w:t>£</w:t>
            </w:r>
            <w:r w:rsidR="004F7482" w:rsidRPr="00E75062">
              <w:rPr>
                <w:rFonts w:ascii="Arial" w:hAnsi="Arial" w:cs="Arial"/>
                <w:sz w:val="22"/>
                <w:szCs w:val="22"/>
                <w:lang w:eastAsia="en-GB"/>
              </w:rPr>
              <w:t>85,000</w:t>
            </w:r>
          </w:p>
        </w:tc>
      </w:tr>
      <w:tr w:rsidR="001B65B2" w:rsidRPr="001B65B2" w14:paraId="5B8579F1" w14:textId="77777777" w:rsidTr="006D4580">
        <w:trPr>
          <w:trHeight w:val="255"/>
        </w:trPr>
        <w:tc>
          <w:tcPr>
            <w:tcW w:w="6436" w:type="dxa"/>
            <w:noWrap/>
            <w:vAlign w:val="bottom"/>
          </w:tcPr>
          <w:p w14:paraId="2AF363CA" w14:textId="77777777" w:rsidR="006D4580" w:rsidRPr="00E75062" w:rsidRDefault="006D4580" w:rsidP="00AF44C6">
            <w:pPr>
              <w:rPr>
                <w:rFonts w:ascii="Arial" w:hAnsi="Arial" w:cs="Arial"/>
                <w:sz w:val="22"/>
                <w:szCs w:val="22"/>
                <w:lang w:eastAsia="en-GB"/>
              </w:rPr>
            </w:pPr>
            <w:r w:rsidRPr="00E75062">
              <w:rPr>
                <w:rFonts w:ascii="Arial" w:hAnsi="Arial" w:cs="Arial"/>
                <w:sz w:val="22"/>
                <w:szCs w:val="22"/>
                <w:lang w:eastAsia="en-GB"/>
              </w:rPr>
              <w:t>Deregistration threshold</w:t>
            </w:r>
          </w:p>
        </w:tc>
        <w:tc>
          <w:tcPr>
            <w:tcW w:w="1830" w:type="dxa"/>
            <w:noWrap/>
            <w:vAlign w:val="bottom"/>
          </w:tcPr>
          <w:p w14:paraId="5647FE05" w14:textId="0EF23437" w:rsidR="006D4580" w:rsidRPr="00E75062" w:rsidRDefault="00E75062" w:rsidP="00AF44C6">
            <w:pPr>
              <w:jc w:val="center"/>
              <w:rPr>
                <w:rFonts w:ascii="Arial" w:hAnsi="Arial" w:cs="Arial"/>
                <w:sz w:val="22"/>
                <w:szCs w:val="22"/>
                <w:lang w:eastAsia="en-GB"/>
              </w:rPr>
            </w:pPr>
            <w:r w:rsidRPr="00E75062">
              <w:rPr>
                <w:rFonts w:ascii="Arial" w:hAnsi="Arial" w:cs="Arial"/>
                <w:sz w:val="22"/>
                <w:szCs w:val="22"/>
                <w:lang w:eastAsia="en-GB"/>
              </w:rPr>
              <w:t>£</w:t>
            </w:r>
            <w:r w:rsidR="00010DA1" w:rsidRPr="00E75062">
              <w:rPr>
                <w:rFonts w:ascii="Arial" w:hAnsi="Arial" w:cs="Arial"/>
                <w:sz w:val="22"/>
                <w:szCs w:val="22"/>
                <w:lang w:eastAsia="en-GB"/>
              </w:rPr>
              <w:t>8</w:t>
            </w:r>
            <w:r w:rsidR="00434DC2" w:rsidRPr="00E75062">
              <w:rPr>
                <w:rFonts w:ascii="Arial" w:hAnsi="Arial" w:cs="Arial"/>
                <w:sz w:val="22"/>
                <w:szCs w:val="22"/>
                <w:lang w:eastAsia="en-GB"/>
              </w:rPr>
              <w:t>3</w:t>
            </w:r>
            <w:r w:rsidR="006D4580" w:rsidRPr="00E75062">
              <w:rPr>
                <w:rFonts w:ascii="Arial" w:hAnsi="Arial" w:cs="Arial"/>
                <w:sz w:val="22"/>
                <w:szCs w:val="22"/>
                <w:lang w:eastAsia="en-GB"/>
              </w:rPr>
              <w:t>,000</w:t>
            </w:r>
          </w:p>
        </w:tc>
        <w:tc>
          <w:tcPr>
            <w:tcW w:w="1672" w:type="dxa"/>
            <w:noWrap/>
            <w:vAlign w:val="bottom"/>
          </w:tcPr>
          <w:p w14:paraId="22E8E427" w14:textId="646DEDED" w:rsidR="006D4580" w:rsidRPr="00E75062" w:rsidRDefault="00E75062" w:rsidP="00AF44C6">
            <w:pPr>
              <w:jc w:val="center"/>
              <w:rPr>
                <w:rFonts w:ascii="Arial" w:hAnsi="Arial" w:cs="Arial"/>
                <w:sz w:val="22"/>
                <w:szCs w:val="22"/>
                <w:lang w:eastAsia="en-GB"/>
              </w:rPr>
            </w:pPr>
            <w:r w:rsidRPr="00E75062">
              <w:rPr>
                <w:rFonts w:ascii="Arial" w:hAnsi="Arial" w:cs="Arial"/>
                <w:sz w:val="22"/>
                <w:szCs w:val="22"/>
                <w:lang w:eastAsia="en-GB"/>
              </w:rPr>
              <w:t>£</w:t>
            </w:r>
            <w:r w:rsidR="004F7482" w:rsidRPr="00E75062">
              <w:rPr>
                <w:rFonts w:ascii="Arial" w:hAnsi="Arial" w:cs="Arial"/>
                <w:sz w:val="22"/>
                <w:szCs w:val="22"/>
                <w:lang w:eastAsia="en-GB"/>
              </w:rPr>
              <w:t>83,000</w:t>
            </w:r>
          </w:p>
        </w:tc>
      </w:tr>
    </w:tbl>
    <w:p w14:paraId="0835E427" w14:textId="77777777" w:rsidR="00A625DD" w:rsidRPr="00724E07" w:rsidRDefault="00A625DD" w:rsidP="00845527">
      <w:pPr>
        <w:autoSpaceDE w:val="0"/>
        <w:autoSpaceDN w:val="0"/>
        <w:rPr>
          <w:rFonts w:ascii="Arial" w:hAnsi="Arial" w:cs="Arial"/>
          <w:b/>
          <w:i/>
          <w:sz w:val="22"/>
          <w:szCs w:val="22"/>
        </w:rPr>
      </w:pPr>
    </w:p>
    <w:p w14:paraId="70CFA60B" w14:textId="32E10E04" w:rsidR="00010DA1" w:rsidRPr="00724E07" w:rsidRDefault="00AA4FA7" w:rsidP="00FA576A">
      <w:pPr>
        <w:rPr>
          <w:rFonts w:ascii="Arial" w:hAnsi="Arial" w:cs="Arial"/>
          <w:sz w:val="22"/>
          <w:szCs w:val="22"/>
        </w:rPr>
      </w:pPr>
      <w:r w:rsidRPr="00724E07">
        <w:rPr>
          <w:rFonts w:ascii="Arial" w:hAnsi="Arial" w:cs="Arial"/>
          <w:sz w:val="22"/>
          <w:szCs w:val="22"/>
        </w:rPr>
        <w:t>The VAT registration and deregistration thresholds will not change for a further period of two years from 1 April 2022</w:t>
      </w:r>
      <w:r w:rsidR="00D122D1" w:rsidRPr="00724E07">
        <w:rPr>
          <w:rFonts w:ascii="Arial" w:hAnsi="Arial" w:cs="Arial"/>
          <w:sz w:val="22"/>
          <w:szCs w:val="22"/>
        </w:rPr>
        <w:t>.</w:t>
      </w:r>
    </w:p>
    <w:p w14:paraId="7B2F936C" w14:textId="77777777" w:rsidR="00943B44" w:rsidRPr="00724E07" w:rsidRDefault="00943B44" w:rsidP="00FA576A">
      <w:pPr>
        <w:rPr>
          <w:rFonts w:ascii="Arial" w:hAnsi="Arial" w:cs="Arial"/>
          <w:sz w:val="22"/>
          <w:szCs w:val="22"/>
        </w:rPr>
      </w:pPr>
    </w:p>
    <w:p w14:paraId="1C742768" w14:textId="1526A840" w:rsidR="001F408A" w:rsidRPr="00724E07" w:rsidRDefault="001F408A" w:rsidP="001F408A">
      <w:pPr>
        <w:rPr>
          <w:rFonts w:ascii="Arial" w:hAnsi="Arial" w:cs="Arial"/>
          <w:sz w:val="22"/>
          <w:szCs w:val="22"/>
        </w:rPr>
      </w:pPr>
      <w:r w:rsidRPr="00724E07">
        <w:rPr>
          <w:rFonts w:ascii="Arial" w:hAnsi="Arial" w:cs="Arial"/>
          <w:sz w:val="22"/>
          <w:szCs w:val="22"/>
        </w:rPr>
        <w:t>The reduced rate of VAT of 12.5% end</w:t>
      </w:r>
      <w:r w:rsidR="009B5FF5" w:rsidRPr="00724E07">
        <w:rPr>
          <w:rFonts w:ascii="Arial" w:hAnsi="Arial" w:cs="Arial"/>
          <w:sz w:val="22"/>
          <w:szCs w:val="22"/>
        </w:rPr>
        <w:t xml:space="preserve">s on </w:t>
      </w:r>
      <w:r w:rsidRPr="00724E07">
        <w:rPr>
          <w:rFonts w:ascii="Arial" w:hAnsi="Arial" w:cs="Arial"/>
          <w:sz w:val="22"/>
          <w:szCs w:val="22"/>
        </w:rPr>
        <w:t>31 March 2022</w:t>
      </w:r>
      <w:r w:rsidR="004070CD" w:rsidRPr="00724E07">
        <w:rPr>
          <w:rFonts w:ascii="Arial" w:hAnsi="Arial" w:cs="Arial"/>
          <w:sz w:val="22"/>
          <w:szCs w:val="22"/>
        </w:rPr>
        <w:t xml:space="preserve"> for the hospitality sector</w:t>
      </w:r>
      <w:r w:rsidRPr="00724E07">
        <w:rPr>
          <w:rFonts w:ascii="Arial" w:hAnsi="Arial" w:cs="Arial"/>
          <w:sz w:val="22"/>
          <w:szCs w:val="22"/>
        </w:rPr>
        <w:t xml:space="preserve"> returning to the standard rate of VAT of 20% from 1 April 2022.</w:t>
      </w:r>
    </w:p>
    <w:p w14:paraId="0EB06C75" w14:textId="77777777" w:rsidR="00943B44" w:rsidRPr="00D122D1" w:rsidRDefault="00943B44" w:rsidP="00FA576A">
      <w:pPr>
        <w:rPr>
          <w:rFonts w:ascii="Arial" w:hAnsi="Arial" w:cs="Arial"/>
          <w:sz w:val="22"/>
          <w:szCs w:val="22"/>
          <w:lang w:eastAsia="en-GB"/>
        </w:rPr>
      </w:pPr>
    </w:p>
    <w:p w14:paraId="0D338B13" w14:textId="77777777" w:rsidR="00214730" w:rsidRDefault="00214730">
      <w:pPr>
        <w:rPr>
          <w:rFonts w:ascii="Arial" w:hAnsi="Arial" w:cs="Arial"/>
          <w:b/>
          <w:bCs/>
          <w:sz w:val="22"/>
          <w:szCs w:val="22"/>
          <w:shd w:val="clear" w:color="auto" w:fill="FFFFFF"/>
        </w:rPr>
      </w:pPr>
      <w:r>
        <w:rPr>
          <w:rFonts w:ascii="Arial" w:hAnsi="Arial" w:cs="Arial"/>
          <w:b/>
          <w:bCs/>
          <w:sz w:val="22"/>
          <w:szCs w:val="22"/>
          <w:shd w:val="clear" w:color="auto" w:fill="FFFFFF"/>
        </w:rPr>
        <w:br w:type="page"/>
      </w:r>
    </w:p>
    <w:p w14:paraId="5F4FCC3C" w14:textId="6A139B23" w:rsidR="007423C1" w:rsidRPr="00627F76" w:rsidRDefault="007423C1" w:rsidP="007423C1">
      <w:pPr>
        <w:rPr>
          <w:rFonts w:ascii="Arial" w:hAnsi="Arial" w:cs="Arial"/>
          <w:b/>
          <w:bCs/>
          <w:sz w:val="22"/>
          <w:szCs w:val="22"/>
          <w:shd w:val="clear" w:color="auto" w:fill="FFFFFF"/>
        </w:rPr>
      </w:pPr>
      <w:r w:rsidRPr="00627F76">
        <w:rPr>
          <w:rFonts w:ascii="Arial" w:hAnsi="Arial" w:cs="Arial"/>
          <w:b/>
          <w:bCs/>
          <w:sz w:val="22"/>
          <w:szCs w:val="22"/>
          <w:shd w:val="clear" w:color="auto" w:fill="FFFFFF"/>
        </w:rPr>
        <w:lastRenderedPageBreak/>
        <w:t>Self-Employment Income Support Scheme (SEISS) and other support</w:t>
      </w:r>
    </w:p>
    <w:p w14:paraId="135AFD74" w14:textId="0F68DF9C" w:rsidR="007423C1" w:rsidRPr="009B5FF5" w:rsidRDefault="007423C1" w:rsidP="007423C1">
      <w:pPr>
        <w:rPr>
          <w:rFonts w:ascii="Arial" w:hAnsi="Arial" w:cs="Arial"/>
          <w:b/>
          <w:color w:val="FF0000"/>
          <w:sz w:val="22"/>
          <w:szCs w:val="22"/>
        </w:rPr>
      </w:pPr>
      <w:r>
        <w:rPr>
          <w:rFonts w:ascii="Arial" w:hAnsi="Arial" w:cs="Arial"/>
          <w:sz w:val="22"/>
          <w:szCs w:val="22"/>
          <w:lang w:eastAsia="en-GB"/>
        </w:rPr>
        <w:t xml:space="preserve">The amounts received through the support schemes </w:t>
      </w:r>
      <w:r w:rsidR="00397660">
        <w:rPr>
          <w:rFonts w:ascii="Arial" w:hAnsi="Arial" w:cs="Arial"/>
          <w:sz w:val="22"/>
          <w:szCs w:val="22"/>
          <w:lang w:eastAsia="en-GB"/>
        </w:rPr>
        <w:t>are</w:t>
      </w:r>
      <w:r>
        <w:rPr>
          <w:rFonts w:ascii="Arial" w:hAnsi="Arial" w:cs="Arial"/>
          <w:sz w:val="22"/>
          <w:szCs w:val="22"/>
          <w:lang w:eastAsia="en-GB"/>
        </w:rPr>
        <w:t xml:space="preserve"> taxable income and is required as a separate entry on tax returns.  </w:t>
      </w:r>
    </w:p>
    <w:p w14:paraId="68FCC102" w14:textId="24BA14F2" w:rsidR="004037D2" w:rsidRPr="009B5FF5" w:rsidRDefault="004037D2" w:rsidP="00B67D22">
      <w:pPr>
        <w:rPr>
          <w:rFonts w:ascii="Arial" w:hAnsi="Arial" w:cs="Arial"/>
          <w:color w:val="FF0000"/>
          <w:sz w:val="22"/>
          <w:szCs w:val="22"/>
          <w:lang w:eastAsia="en-GB"/>
        </w:rPr>
      </w:pPr>
    </w:p>
    <w:p w14:paraId="79431DF1" w14:textId="0A9447E0" w:rsidR="009C1DD1" w:rsidRPr="00214730" w:rsidRDefault="009C1DD1" w:rsidP="00214730">
      <w:pPr>
        <w:rPr>
          <w:rFonts w:ascii="Arial" w:hAnsi="Arial" w:cs="Arial"/>
          <w:b/>
          <w:sz w:val="22"/>
          <w:szCs w:val="22"/>
        </w:rPr>
      </w:pPr>
      <w:r w:rsidRPr="00214730">
        <w:rPr>
          <w:rFonts w:ascii="Arial" w:hAnsi="Arial" w:cs="Arial"/>
          <w:b/>
          <w:sz w:val="22"/>
          <w:szCs w:val="22"/>
        </w:rPr>
        <w:t>Losses</w:t>
      </w:r>
    </w:p>
    <w:p w14:paraId="2D3D79ED" w14:textId="1293CE10" w:rsidR="00C44979" w:rsidRPr="00214730" w:rsidRDefault="00CB68EB" w:rsidP="00214730">
      <w:pPr>
        <w:rPr>
          <w:rFonts w:ascii="Arial" w:hAnsi="Arial" w:cs="Arial"/>
          <w:bCs/>
          <w:sz w:val="22"/>
          <w:szCs w:val="22"/>
          <w:lang w:val="en"/>
        </w:rPr>
      </w:pPr>
      <w:r w:rsidRPr="00214730">
        <w:rPr>
          <w:rFonts w:ascii="Arial" w:hAnsi="Arial" w:cs="Arial"/>
          <w:bCs/>
          <w:sz w:val="22"/>
          <w:szCs w:val="22"/>
        </w:rPr>
        <w:t>Trading losses will have more flexibility to carry</w:t>
      </w:r>
      <w:r w:rsidR="001A030F" w:rsidRPr="00214730">
        <w:rPr>
          <w:rFonts w:ascii="Arial" w:hAnsi="Arial" w:cs="Arial"/>
          <w:bCs/>
          <w:sz w:val="22"/>
          <w:szCs w:val="22"/>
        </w:rPr>
        <w:t xml:space="preserve"> them</w:t>
      </w:r>
      <w:r w:rsidRPr="00214730">
        <w:rPr>
          <w:rFonts w:ascii="Arial" w:hAnsi="Arial" w:cs="Arial"/>
          <w:bCs/>
          <w:sz w:val="22"/>
          <w:szCs w:val="22"/>
        </w:rPr>
        <w:t xml:space="preserve"> back over three years. </w:t>
      </w:r>
      <w:r w:rsidR="00C0045B" w:rsidRPr="00214730">
        <w:rPr>
          <w:rFonts w:ascii="Arial" w:hAnsi="Arial" w:cs="Arial"/>
          <w:bCs/>
          <w:sz w:val="22"/>
          <w:szCs w:val="22"/>
          <w:lang w:val="en"/>
        </w:rPr>
        <w:t xml:space="preserve">This applies </w:t>
      </w:r>
      <w:r w:rsidR="00C44979" w:rsidRPr="00214730">
        <w:rPr>
          <w:rFonts w:ascii="Arial" w:hAnsi="Arial" w:cs="Arial"/>
          <w:bCs/>
          <w:sz w:val="22"/>
          <w:szCs w:val="22"/>
          <w:lang w:val="en"/>
        </w:rPr>
        <w:t>only for losses incurred by companies for accounting periods ending between 1 April 2020 and 31 March 2022, and for individual for trade losses of tax years 2020</w:t>
      </w:r>
      <w:r w:rsidR="001A030F" w:rsidRPr="00214730">
        <w:rPr>
          <w:rFonts w:ascii="Arial" w:hAnsi="Arial" w:cs="Arial"/>
          <w:bCs/>
          <w:sz w:val="22"/>
          <w:szCs w:val="22"/>
          <w:lang w:val="en"/>
        </w:rPr>
        <w:t>/</w:t>
      </w:r>
      <w:r w:rsidR="00C44979" w:rsidRPr="00214730">
        <w:rPr>
          <w:rFonts w:ascii="Arial" w:hAnsi="Arial" w:cs="Arial"/>
          <w:bCs/>
          <w:sz w:val="22"/>
          <w:szCs w:val="22"/>
          <w:lang w:val="en"/>
        </w:rPr>
        <w:t>21 and 2021</w:t>
      </w:r>
      <w:r w:rsidR="001A030F" w:rsidRPr="00214730">
        <w:rPr>
          <w:rFonts w:ascii="Arial" w:hAnsi="Arial" w:cs="Arial"/>
          <w:bCs/>
          <w:sz w:val="22"/>
          <w:szCs w:val="22"/>
          <w:lang w:val="en"/>
        </w:rPr>
        <w:t>/</w:t>
      </w:r>
      <w:r w:rsidR="00C44979" w:rsidRPr="00214730">
        <w:rPr>
          <w:rFonts w:ascii="Arial" w:hAnsi="Arial" w:cs="Arial"/>
          <w:bCs/>
          <w:sz w:val="22"/>
          <w:szCs w:val="22"/>
          <w:lang w:val="en"/>
        </w:rPr>
        <w:t>22</w:t>
      </w:r>
      <w:r w:rsidR="001A030F" w:rsidRPr="00214730">
        <w:rPr>
          <w:rFonts w:ascii="Arial" w:hAnsi="Arial" w:cs="Arial"/>
          <w:bCs/>
          <w:sz w:val="22"/>
          <w:szCs w:val="22"/>
          <w:lang w:val="en"/>
        </w:rPr>
        <w:t>.</w:t>
      </w:r>
    </w:p>
    <w:p w14:paraId="3E6B9A97" w14:textId="77777777" w:rsidR="008C5564" w:rsidRPr="00214730" w:rsidRDefault="008C5564" w:rsidP="00214730">
      <w:pPr>
        <w:rPr>
          <w:rFonts w:ascii="Arial" w:hAnsi="Arial" w:cs="Arial"/>
          <w:sz w:val="22"/>
          <w:szCs w:val="22"/>
        </w:rPr>
      </w:pPr>
    </w:p>
    <w:p w14:paraId="09B56487" w14:textId="6D78629A" w:rsidR="009C1DD1" w:rsidRPr="00214730" w:rsidRDefault="00DB5C09" w:rsidP="00214730">
      <w:pPr>
        <w:rPr>
          <w:rFonts w:ascii="Arial" w:hAnsi="Arial" w:cs="Arial"/>
          <w:sz w:val="22"/>
          <w:szCs w:val="22"/>
        </w:rPr>
      </w:pPr>
      <w:r w:rsidRPr="00214730">
        <w:rPr>
          <w:rFonts w:ascii="Arial" w:hAnsi="Arial" w:cs="Arial"/>
          <w:sz w:val="22"/>
          <w:szCs w:val="22"/>
        </w:rPr>
        <w:t xml:space="preserve">Cross-Border Group Relief (CBGR) and other related loss reliefs </w:t>
      </w:r>
      <w:r w:rsidR="008C5564" w:rsidRPr="00214730">
        <w:rPr>
          <w:rFonts w:ascii="Arial" w:hAnsi="Arial" w:cs="Arial"/>
          <w:sz w:val="22"/>
          <w:szCs w:val="22"/>
        </w:rPr>
        <w:t xml:space="preserve">have been removed </w:t>
      </w:r>
      <w:r w:rsidRPr="00214730">
        <w:rPr>
          <w:rFonts w:ascii="Arial" w:hAnsi="Arial" w:cs="Arial"/>
          <w:sz w:val="22"/>
          <w:szCs w:val="22"/>
        </w:rPr>
        <w:t>from 27 October 2021.</w:t>
      </w:r>
    </w:p>
    <w:p w14:paraId="020DE2C7" w14:textId="77777777" w:rsidR="005B65DA" w:rsidRPr="00214730" w:rsidRDefault="005B65DA" w:rsidP="00214730">
      <w:pPr>
        <w:rPr>
          <w:rFonts w:ascii="Arial" w:hAnsi="Arial" w:cs="Arial"/>
          <w:b/>
          <w:color w:val="FF0000"/>
          <w:sz w:val="22"/>
          <w:szCs w:val="22"/>
        </w:rPr>
      </w:pPr>
    </w:p>
    <w:p w14:paraId="550BC9C0" w14:textId="16584571" w:rsidR="00B67D22" w:rsidRPr="00214730" w:rsidRDefault="00B67D22" w:rsidP="00214730">
      <w:pPr>
        <w:rPr>
          <w:rFonts w:ascii="Arial" w:hAnsi="Arial" w:cs="Arial"/>
          <w:b/>
          <w:sz w:val="22"/>
          <w:szCs w:val="22"/>
        </w:rPr>
      </w:pPr>
      <w:r w:rsidRPr="00214730">
        <w:rPr>
          <w:rFonts w:ascii="Arial" w:hAnsi="Arial" w:cs="Arial"/>
          <w:b/>
          <w:sz w:val="22"/>
          <w:szCs w:val="22"/>
        </w:rPr>
        <w:t xml:space="preserve">Entrepreneurs’ </w:t>
      </w:r>
      <w:r w:rsidR="001A030F" w:rsidRPr="00214730">
        <w:rPr>
          <w:rFonts w:ascii="Arial" w:hAnsi="Arial" w:cs="Arial"/>
          <w:b/>
          <w:sz w:val="22"/>
          <w:szCs w:val="22"/>
        </w:rPr>
        <w:t>r</w:t>
      </w:r>
      <w:r w:rsidRPr="00214730">
        <w:rPr>
          <w:rFonts w:ascii="Arial" w:hAnsi="Arial" w:cs="Arial"/>
          <w:b/>
          <w:sz w:val="22"/>
          <w:szCs w:val="22"/>
        </w:rPr>
        <w:t>elief</w:t>
      </w:r>
    </w:p>
    <w:p w14:paraId="40479CB9" w14:textId="710D7C9C" w:rsidR="00B67D22" w:rsidRPr="00214730" w:rsidRDefault="00B67D22" w:rsidP="00214730">
      <w:pPr>
        <w:rPr>
          <w:rFonts w:ascii="Arial" w:hAnsi="Arial" w:cs="Arial"/>
          <w:sz w:val="22"/>
          <w:szCs w:val="22"/>
        </w:rPr>
      </w:pPr>
      <w:r w:rsidRPr="00214730">
        <w:rPr>
          <w:rFonts w:ascii="Arial" w:hAnsi="Arial" w:cs="Arial"/>
          <w:sz w:val="22"/>
          <w:szCs w:val="22"/>
        </w:rPr>
        <w:t xml:space="preserve">The lifetime limit on gains eligible for </w:t>
      </w:r>
      <w:r w:rsidR="00AD76FB" w:rsidRPr="00214730">
        <w:rPr>
          <w:rFonts w:ascii="Arial" w:hAnsi="Arial" w:cs="Arial"/>
          <w:sz w:val="22"/>
          <w:szCs w:val="22"/>
        </w:rPr>
        <w:t>e</w:t>
      </w:r>
      <w:r w:rsidRPr="00214730">
        <w:rPr>
          <w:rFonts w:ascii="Arial" w:hAnsi="Arial" w:cs="Arial"/>
          <w:sz w:val="22"/>
          <w:szCs w:val="22"/>
        </w:rPr>
        <w:t xml:space="preserve">ntrepreneurs’ </w:t>
      </w:r>
      <w:r w:rsidR="00AD76FB" w:rsidRPr="00214730">
        <w:rPr>
          <w:rFonts w:ascii="Arial" w:hAnsi="Arial" w:cs="Arial"/>
          <w:sz w:val="22"/>
          <w:szCs w:val="22"/>
        </w:rPr>
        <w:t>r</w:t>
      </w:r>
      <w:r w:rsidRPr="00214730">
        <w:rPr>
          <w:rFonts w:ascii="Arial" w:hAnsi="Arial" w:cs="Arial"/>
          <w:sz w:val="22"/>
          <w:szCs w:val="22"/>
        </w:rPr>
        <w:t xml:space="preserve">elief </w:t>
      </w:r>
      <w:r w:rsidR="003F5FCD" w:rsidRPr="00214730">
        <w:rPr>
          <w:rFonts w:ascii="Arial" w:hAnsi="Arial" w:cs="Arial"/>
          <w:sz w:val="22"/>
          <w:szCs w:val="22"/>
        </w:rPr>
        <w:t xml:space="preserve">is </w:t>
      </w:r>
      <w:r w:rsidRPr="00214730">
        <w:rPr>
          <w:rFonts w:ascii="Arial" w:hAnsi="Arial" w:cs="Arial"/>
          <w:sz w:val="22"/>
          <w:szCs w:val="22"/>
        </w:rPr>
        <w:t>£1</w:t>
      </w:r>
      <w:r w:rsidR="00AD76FB" w:rsidRPr="00214730">
        <w:rPr>
          <w:rFonts w:ascii="Arial" w:hAnsi="Arial" w:cs="Arial"/>
          <w:sz w:val="22"/>
          <w:szCs w:val="22"/>
        </w:rPr>
        <w:t>m</w:t>
      </w:r>
      <w:r w:rsidRPr="00214730">
        <w:rPr>
          <w:rFonts w:ascii="Arial" w:hAnsi="Arial" w:cs="Arial"/>
          <w:sz w:val="22"/>
          <w:szCs w:val="22"/>
        </w:rPr>
        <w:t xml:space="preserve"> for qualifying disposals</w:t>
      </w:r>
      <w:r w:rsidR="003F5FCD" w:rsidRPr="00214730">
        <w:rPr>
          <w:rFonts w:ascii="Arial" w:hAnsi="Arial" w:cs="Arial"/>
          <w:sz w:val="22"/>
          <w:szCs w:val="22"/>
        </w:rPr>
        <w:t>.</w:t>
      </w:r>
    </w:p>
    <w:p w14:paraId="4B76AB6D" w14:textId="77777777" w:rsidR="00B67D22" w:rsidRPr="00214730" w:rsidRDefault="00B67D22" w:rsidP="00214730">
      <w:pPr>
        <w:rPr>
          <w:rFonts w:ascii="Arial" w:hAnsi="Arial" w:cs="Arial"/>
          <w:b/>
          <w:color w:val="FF0000"/>
          <w:sz w:val="22"/>
          <w:szCs w:val="22"/>
        </w:rPr>
      </w:pPr>
    </w:p>
    <w:p w14:paraId="229B5E06" w14:textId="77777777" w:rsidR="00B67D22" w:rsidRPr="00214730" w:rsidRDefault="00B67D22" w:rsidP="00214730">
      <w:pPr>
        <w:rPr>
          <w:rFonts w:ascii="Arial" w:hAnsi="Arial" w:cs="Arial"/>
          <w:b/>
          <w:sz w:val="22"/>
          <w:szCs w:val="22"/>
        </w:rPr>
      </w:pPr>
      <w:r w:rsidRPr="00214730">
        <w:rPr>
          <w:rFonts w:ascii="Arial" w:hAnsi="Arial" w:cs="Arial"/>
          <w:b/>
          <w:sz w:val="22"/>
          <w:szCs w:val="22"/>
        </w:rPr>
        <w:t>Employment allowance reform</w:t>
      </w:r>
    </w:p>
    <w:p w14:paraId="3D72D576" w14:textId="00753851" w:rsidR="00B67D22" w:rsidRPr="00214730" w:rsidRDefault="00B67D22" w:rsidP="00214730">
      <w:pPr>
        <w:rPr>
          <w:rFonts w:ascii="Arial" w:hAnsi="Arial" w:cs="Arial"/>
          <w:b/>
          <w:sz w:val="22"/>
          <w:szCs w:val="22"/>
        </w:rPr>
      </w:pPr>
      <w:r w:rsidRPr="00214730">
        <w:rPr>
          <w:rFonts w:ascii="Arial" w:hAnsi="Arial" w:cs="Arial"/>
          <w:sz w:val="22"/>
          <w:szCs w:val="22"/>
        </w:rPr>
        <w:t xml:space="preserve">The allowance </w:t>
      </w:r>
      <w:r w:rsidR="00431D69" w:rsidRPr="00214730">
        <w:rPr>
          <w:rFonts w:ascii="Arial" w:hAnsi="Arial" w:cs="Arial"/>
          <w:sz w:val="22"/>
          <w:szCs w:val="22"/>
        </w:rPr>
        <w:t xml:space="preserve">is </w:t>
      </w:r>
      <w:r w:rsidRPr="00214730">
        <w:rPr>
          <w:rFonts w:ascii="Arial" w:hAnsi="Arial" w:cs="Arial"/>
          <w:sz w:val="22"/>
          <w:szCs w:val="22"/>
        </w:rPr>
        <w:t xml:space="preserve">£4,000 but </w:t>
      </w:r>
      <w:r w:rsidR="00431D69" w:rsidRPr="00214730">
        <w:rPr>
          <w:rFonts w:ascii="Arial" w:hAnsi="Arial" w:cs="Arial"/>
          <w:sz w:val="22"/>
          <w:szCs w:val="22"/>
        </w:rPr>
        <w:t xml:space="preserve">continues </w:t>
      </w:r>
      <w:r w:rsidR="00CE4FFD" w:rsidRPr="00214730">
        <w:rPr>
          <w:rFonts w:ascii="Arial" w:hAnsi="Arial" w:cs="Arial"/>
          <w:sz w:val="22"/>
          <w:szCs w:val="22"/>
        </w:rPr>
        <w:t xml:space="preserve">to </w:t>
      </w:r>
      <w:r w:rsidRPr="00214730">
        <w:rPr>
          <w:rFonts w:ascii="Arial" w:hAnsi="Arial" w:cs="Arial"/>
          <w:sz w:val="22"/>
          <w:szCs w:val="22"/>
        </w:rPr>
        <w:t>be limited to employers with an employer NIC bill below £100,000 in the previous tax year.</w:t>
      </w:r>
    </w:p>
    <w:p w14:paraId="02178907" w14:textId="77777777" w:rsidR="00B67D22" w:rsidRPr="00214730" w:rsidRDefault="00B67D22" w:rsidP="00214730">
      <w:pPr>
        <w:rPr>
          <w:rFonts w:ascii="Arial" w:hAnsi="Arial" w:cs="Arial"/>
          <w:b/>
          <w:color w:val="FF0000"/>
          <w:sz w:val="22"/>
          <w:szCs w:val="22"/>
        </w:rPr>
      </w:pPr>
    </w:p>
    <w:p w14:paraId="1B29CFCE" w14:textId="0A0A9EB7" w:rsidR="007379C6" w:rsidRPr="00214730" w:rsidRDefault="007379C6" w:rsidP="00214730">
      <w:pPr>
        <w:rPr>
          <w:rFonts w:ascii="Arial" w:hAnsi="Arial" w:cs="Arial"/>
          <w:b/>
          <w:sz w:val="22"/>
          <w:szCs w:val="22"/>
        </w:rPr>
      </w:pPr>
      <w:r w:rsidRPr="00214730">
        <w:rPr>
          <w:rFonts w:ascii="Arial" w:hAnsi="Arial" w:cs="Arial"/>
          <w:b/>
          <w:sz w:val="22"/>
          <w:szCs w:val="22"/>
        </w:rPr>
        <w:t>R&amp;D</w:t>
      </w:r>
    </w:p>
    <w:p w14:paraId="1E608564" w14:textId="23FB0638" w:rsidR="00F2181C" w:rsidRPr="00214730" w:rsidRDefault="00F2181C" w:rsidP="00214730">
      <w:pPr>
        <w:rPr>
          <w:rFonts w:ascii="Arial" w:hAnsi="Arial" w:cs="Arial"/>
          <w:sz w:val="22"/>
          <w:szCs w:val="22"/>
        </w:rPr>
      </w:pPr>
      <w:r w:rsidRPr="00214730">
        <w:rPr>
          <w:rFonts w:ascii="Arial" w:hAnsi="Arial" w:cs="Arial"/>
          <w:sz w:val="22"/>
          <w:szCs w:val="22"/>
        </w:rPr>
        <w:t xml:space="preserve">SMEs applying for R&amp;D tax credits will be eligible to a maximum </w:t>
      </w:r>
      <w:r w:rsidR="00490B2C" w:rsidRPr="00214730">
        <w:rPr>
          <w:rFonts w:ascii="Arial" w:hAnsi="Arial" w:cs="Arial"/>
          <w:sz w:val="22"/>
          <w:szCs w:val="22"/>
        </w:rPr>
        <w:t xml:space="preserve">of </w:t>
      </w:r>
      <w:r w:rsidRPr="00214730">
        <w:rPr>
          <w:rFonts w:ascii="Arial" w:hAnsi="Arial" w:cs="Arial"/>
          <w:sz w:val="22"/>
          <w:szCs w:val="22"/>
        </w:rPr>
        <w:t>£20,000 in repayments per year plus three times the company’s total PAYE and NIC liability.</w:t>
      </w:r>
    </w:p>
    <w:p w14:paraId="177B3A7E" w14:textId="5985EE05" w:rsidR="007379C6" w:rsidRPr="00214730" w:rsidRDefault="007379C6" w:rsidP="00214730">
      <w:pPr>
        <w:rPr>
          <w:rFonts w:ascii="Arial" w:hAnsi="Arial" w:cs="Arial"/>
          <w:b/>
          <w:bCs/>
          <w:sz w:val="22"/>
          <w:szCs w:val="22"/>
          <w:lang w:val="en-US"/>
        </w:rPr>
      </w:pPr>
      <w:r w:rsidRPr="00214730">
        <w:rPr>
          <w:rFonts w:ascii="Arial" w:hAnsi="Arial" w:cs="Arial"/>
          <w:color w:val="FF0000"/>
          <w:sz w:val="22"/>
          <w:szCs w:val="22"/>
          <w:lang w:eastAsia="en-GB"/>
        </w:rPr>
        <w:br/>
      </w:r>
      <w:r w:rsidR="00351B17" w:rsidRPr="00214730">
        <w:rPr>
          <w:rFonts w:ascii="Arial" w:hAnsi="Arial" w:cs="Arial"/>
          <w:b/>
          <w:bCs/>
          <w:sz w:val="22"/>
          <w:szCs w:val="22"/>
          <w:lang w:val="en-US"/>
        </w:rPr>
        <w:t>Inheritance tax (</w:t>
      </w:r>
      <w:r w:rsidRPr="00214730">
        <w:rPr>
          <w:rFonts w:ascii="Arial" w:hAnsi="Arial" w:cs="Arial"/>
          <w:b/>
          <w:bCs/>
          <w:sz w:val="22"/>
          <w:szCs w:val="22"/>
          <w:lang w:val="en-US"/>
        </w:rPr>
        <w:t>IHT</w:t>
      </w:r>
      <w:r w:rsidR="00351B17" w:rsidRPr="00214730">
        <w:rPr>
          <w:rFonts w:ascii="Arial" w:hAnsi="Arial" w:cs="Arial"/>
          <w:b/>
          <w:bCs/>
          <w:sz w:val="22"/>
          <w:szCs w:val="22"/>
          <w:lang w:val="en-US"/>
        </w:rPr>
        <w:t>)</w:t>
      </w:r>
    </w:p>
    <w:p w14:paraId="6D7FA932" w14:textId="36B83019" w:rsidR="007379C6" w:rsidRPr="00214730" w:rsidRDefault="007379C6" w:rsidP="00214730">
      <w:pPr>
        <w:rPr>
          <w:rFonts w:ascii="Arial" w:hAnsi="Arial" w:cs="Arial"/>
          <w:bCs/>
          <w:sz w:val="22"/>
          <w:szCs w:val="22"/>
          <w:lang w:val="en"/>
        </w:rPr>
      </w:pPr>
      <w:r w:rsidRPr="00214730">
        <w:rPr>
          <w:rFonts w:ascii="Arial" w:hAnsi="Arial" w:cs="Arial"/>
          <w:bCs/>
          <w:sz w:val="22"/>
          <w:szCs w:val="22"/>
          <w:lang w:val="en-US"/>
        </w:rPr>
        <w:t xml:space="preserve">The </w:t>
      </w:r>
      <w:r w:rsidR="00490B2C" w:rsidRPr="00214730">
        <w:rPr>
          <w:rFonts w:ascii="Arial" w:hAnsi="Arial" w:cs="Arial"/>
          <w:bCs/>
          <w:sz w:val="22"/>
          <w:szCs w:val="22"/>
          <w:lang w:val="en-US"/>
        </w:rPr>
        <w:t>n</w:t>
      </w:r>
      <w:r w:rsidRPr="00214730">
        <w:rPr>
          <w:rFonts w:ascii="Arial" w:hAnsi="Arial" w:cs="Arial"/>
          <w:bCs/>
          <w:sz w:val="22"/>
          <w:szCs w:val="22"/>
          <w:lang w:val="en-US"/>
        </w:rPr>
        <w:t>il-rate band remains at £325,000</w:t>
      </w:r>
      <w:r w:rsidR="00074DF0" w:rsidRPr="00214730">
        <w:rPr>
          <w:rFonts w:ascii="Arial" w:hAnsi="Arial" w:cs="Arial"/>
          <w:bCs/>
          <w:sz w:val="22"/>
          <w:szCs w:val="22"/>
          <w:lang w:val="en-US"/>
        </w:rPr>
        <w:t xml:space="preserve"> frozen until 2026</w:t>
      </w:r>
      <w:r w:rsidRPr="00214730">
        <w:rPr>
          <w:rFonts w:ascii="Arial" w:hAnsi="Arial" w:cs="Arial"/>
          <w:bCs/>
          <w:sz w:val="22"/>
          <w:szCs w:val="22"/>
          <w:lang w:val="en-US"/>
        </w:rPr>
        <w:t>. The residence nil-rate band f</w:t>
      </w:r>
      <w:r w:rsidRPr="00214730">
        <w:rPr>
          <w:rFonts w:ascii="Arial" w:hAnsi="Arial" w:cs="Arial"/>
          <w:bCs/>
          <w:sz w:val="22"/>
          <w:szCs w:val="22"/>
          <w:lang w:val="en"/>
        </w:rPr>
        <w:t xml:space="preserve">or deaths in the following tax years </w:t>
      </w:r>
      <w:r w:rsidR="00975420" w:rsidRPr="00214730">
        <w:rPr>
          <w:rFonts w:ascii="Arial" w:hAnsi="Arial" w:cs="Arial"/>
          <w:bCs/>
          <w:sz w:val="22"/>
          <w:szCs w:val="22"/>
          <w:lang w:val="en"/>
        </w:rPr>
        <w:t>are</w:t>
      </w:r>
      <w:r w:rsidRPr="00214730">
        <w:rPr>
          <w:rFonts w:ascii="Arial" w:hAnsi="Arial" w:cs="Arial"/>
          <w:bCs/>
          <w:sz w:val="22"/>
          <w:szCs w:val="22"/>
          <w:lang w:val="en"/>
        </w:rPr>
        <w:t>:</w:t>
      </w:r>
    </w:p>
    <w:p w14:paraId="558AD08F" w14:textId="77777777" w:rsidR="007379C6" w:rsidRPr="00214730" w:rsidRDefault="007379C6" w:rsidP="00214730">
      <w:pPr>
        <w:rPr>
          <w:rFonts w:ascii="Arial" w:hAnsi="Arial" w:cs="Arial"/>
          <w:bCs/>
          <w:sz w:val="22"/>
          <w:szCs w:val="22"/>
          <w:lang w:val="en-US"/>
        </w:rPr>
      </w:pPr>
    </w:p>
    <w:p w14:paraId="1F530384" w14:textId="2434C918" w:rsidR="00975420" w:rsidRPr="00214730" w:rsidRDefault="007379C6" w:rsidP="00214730">
      <w:pPr>
        <w:pStyle w:val="ListParagraph"/>
        <w:numPr>
          <w:ilvl w:val="0"/>
          <w:numId w:val="24"/>
        </w:numPr>
        <w:spacing w:after="0" w:line="240" w:lineRule="auto"/>
        <w:rPr>
          <w:rFonts w:ascii="Arial" w:hAnsi="Arial" w:cs="Arial"/>
          <w:bCs/>
          <w:lang w:val="en"/>
        </w:rPr>
      </w:pPr>
      <w:r w:rsidRPr="00214730">
        <w:rPr>
          <w:rFonts w:ascii="Arial" w:hAnsi="Arial" w:cs="Arial"/>
          <w:bCs/>
          <w:lang w:val="en"/>
        </w:rPr>
        <w:t>£100,000 in 2017</w:t>
      </w:r>
      <w:r w:rsidR="00490B2C" w:rsidRPr="00214730">
        <w:rPr>
          <w:rFonts w:ascii="Arial" w:hAnsi="Arial" w:cs="Arial"/>
          <w:bCs/>
          <w:lang w:val="en"/>
        </w:rPr>
        <w:t>/</w:t>
      </w:r>
      <w:r w:rsidRPr="00214730">
        <w:rPr>
          <w:rFonts w:ascii="Arial" w:hAnsi="Arial" w:cs="Arial"/>
          <w:bCs/>
          <w:lang w:val="en"/>
        </w:rPr>
        <w:t>18</w:t>
      </w:r>
      <w:r w:rsidR="00BD6460" w:rsidRPr="00214730">
        <w:rPr>
          <w:rFonts w:ascii="Arial" w:hAnsi="Arial" w:cs="Arial"/>
          <w:bCs/>
          <w:lang w:val="en"/>
        </w:rPr>
        <w:t xml:space="preserve">     </w:t>
      </w:r>
    </w:p>
    <w:p w14:paraId="022B4909" w14:textId="3B230A7D" w:rsidR="00D21829" w:rsidRPr="00214730" w:rsidRDefault="007379C6" w:rsidP="00214730">
      <w:pPr>
        <w:pStyle w:val="ListParagraph"/>
        <w:numPr>
          <w:ilvl w:val="0"/>
          <w:numId w:val="24"/>
        </w:numPr>
        <w:spacing w:after="0" w:line="240" w:lineRule="auto"/>
        <w:rPr>
          <w:rFonts w:ascii="Arial" w:hAnsi="Arial" w:cs="Arial"/>
          <w:bCs/>
          <w:lang w:val="en"/>
        </w:rPr>
      </w:pPr>
      <w:r w:rsidRPr="00214730">
        <w:rPr>
          <w:rFonts w:ascii="Arial" w:hAnsi="Arial" w:cs="Arial"/>
          <w:bCs/>
          <w:lang w:val="en"/>
        </w:rPr>
        <w:t>£125,000 in 2018</w:t>
      </w:r>
      <w:r w:rsidR="00490B2C" w:rsidRPr="00214730">
        <w:rPr>
          <w:rFonts w:ascii="Arial" w:hAnsi="Arial" w:cs="Arial"/>
          <w:bCs/>
          <w:lang w:val="en"/>
        </w:rPr>
        <w:t>/</w:t>
      </w:r>
      <w:r w:rsidRPr="00214730">
        <w:rPr>
          <w:rFonts w:ascii="Arial" w:hAnsi="Arial" w:cs="Arial"/>
          <w:bCs/>
          <w:lang w:val="en"/>
        </w:rPr>
        <w:t>19</w:t>
      </w:r>
    </w:p>
    <w:p w14:paraId="41AABC46" w14:textId="126B6260" w:rsidR="00D21829" w:rsidRPr="00214730" w:rsidRDefault="007379C6" w:rsidP="00214730">
      <w:pPr>
        <w:pStyle w:val="ListParagraph"/>
        <w:numPr>
          <w:ilvl w:val="0"/>
          <w:numId w:val="24"/>
        </w:numPr>
        <w:spacing w:after="0" w:line="240" w:lineRule="auto"/>
        <w:rPr>
          <w:rFonts w:ascii="Arial" w:hAnsi="Arial" w:cs="Arial"/>
          <w:bCs/>
          <w:lang w:val="en"/>
        </w:rPr>
      </w:pPr>
      <w:r w:rsidRPr="00214730">
        <w:rPr>
          <w:rFonts w:ascii="Arial" w:hAnsi="Arial" w:cs="Arial"/>
          <w:bCs/>
          <w:lang w:val="en"/>
        </w:rPr>
        <w:t>£150,000 in 2019</w:t>
      </w:r>
      <w:r w:rsidR="00490B2C" w:rsidRPr="00214730">
        <w:rPr>
          <w:rFonts w:ascii="Arial" w:hAnsi="Arial" w:cs="Arial"/>
          <w:bCs/>
          <w:lang w:val="en"/>
        </w:rPr>
        <w:t>/</w:t>
      </w:r>
      <w:r w:rsidRPr="00214730">
        <w:rPr>
          <w:rFonts w:ascii="Arial" w:hAnsi="Arial" w:cs="Arial"/>
          <w:bCs/>
          <w:lang w:val="en"/>
        </w:rPr>
        <w:t>20</w:t>
      </w:r>
      <w:r w:rsidR="00BD6460" w:rsidRPr="00214730">
        <w:rPr>
          <w:rFonts w:ascii="Arial" w:hAnsi="Arial" w:cs="Arial"/>
          <w:bCs/>
          <w:lang w:val="en"/>
        </w:rPr>
        <w:t xml:space="preserve">     </w:t>
      </w:r>
    </w:p>
    <w:p w14:paraId="63D5A51F" w14:textId="0A37FB4C" w:rsidR="007379C6" w:rsidRPr="00214730" w:rsidRDefault="007379C6" w:rsidP="00214730">
      <w:pPr>
        <w:pStyle w:val="ListParagraph"/>
        <w:numPr>
          <w:ilvl w:val="0"/>
          <w:numId w:val="24"/>
        </w:numPr>
        <w:spacing w:after="0" w:line="240" w:lineRule="auto"/>
        <w:rPr>
          <w:rFonts w:ascii="Arial" w:hAnsi="Arial" w:cs="Arial"/>
          <w:bCs/>
          <w:lang w:val="en"/>
        </w:rPr>
      </w:pPr>
      <w:r w:rsidRPr="00214730">
        <w:rPr>
          <w:rFonts w:ascii="Arial" w:hAnsi="Arial" w:cs="Arial"/>
          <w:bCs/>
          <w:lang w:val="en"/>
        </w:rPr>
        <w:t>£175,000 in 2020</w:t>
      </w:r>
      <w:r w:rsidR="00490B2C" w:rsidRPr="00214730">
        <w:rPr>
          <w:rFonts w:ascii="Arial" w:hAnsi="Arial" w:cs="Arial"/>
          <w:bCs/>
          <w:lang w:val="en"/>
        </w:rPr>
        <w:t>/</w:t>
      </w:r>
      <w:r w:rsidRPr="00214730">
        <w:rPr>
          <w:rFonts w:ascii="Arial" w:hAnsi="Arial" w:cs="Arial"/>
          <w:bCs/>
          <w:lang w:val="en"/>
        </w:rPr>
        <w:t>21</w:t>
      </w:r>
    </w:p>
    <w:p w14:paraId="4898B7D2" w14:textId="531A071F" w:rsidR="00724AE1" w:rsidRPr="00214730" w:rsidRDefault="00724AE1" w:rsidP="00214730">
      <w:pPr>
        <w:pStyle w:val="ListParagraph"/>
        <w:numPr>
          <w:ilvl w:val="0"/>
          <w:numId w:val="24"/>
        </w:numPr>
        <w:spacing w:after="0" w:line="240" w:lineRule="auto"/>
        <w:rPr>
          <w:rFonts w:ascii="Arial" w:hAnsi="Arial" w:cs="Arial"/>
          <w:bCs/>
          <w:lang w:val="en"/>
        </w:rPr>
      </w:pPr>
      <w:r w:rsidRPr="00214730">
        <w:rPr>
          <w:rFonts w:ascii="Arial" w:hAnsi="Arial" w:cs="Arial"/>
          <w:bCs/>
          <w:lang w:val="en"/>
        </w:rPr>
        <w:t>£175,000 in 2021</w:t>
      </w:r>
      <w:r w:rsidR="00490B2C" w:rsidRPr="00214730">
        <w:rPr>
          <w:rFonts w:ascii="Arial" w:hAnsi="Arial" w:cs="Arial"/>
          <w:bCs/>
          <w:lang w:val="en"/>
        </w:rPr>
        <w:t>/</w:t>
      </w:r>
      <w:r w:rsidRPr="00214730">
        <w:rPr>
          <w:rFonts w:ascii="Arial" w:hAnsi="Arial" w:cs="Arial"/>
          <w:bCs/>
          <w:lang w:val="en"/>
        </w:rPr>
        <w:t>22</w:t>
      </w:r>
      <w:r w:rsidR="001D3D13" w:rsidRPr="00214730">
        <w:rPr>
          <w:rFonts w:ascii="Arial" w:hAnsi="Arial" w:cs="Arial"/>
          <w:bCs/>
          <w:lang w:val="en"/>
        </w:rPr>
        <w:t xml:space="preserve"> and subse</w:t>
      </w:r>
      <w:r w:rsidR="00074DF0" w:rsidRPr="00214730">
        <w:rPr>
          <w:rFonts w:ascii="Arial" w:hAnsi="Arial" w:cs="Arial"/>
          <w:bCs/>
          <w:lang w:val="en"/>
        </w:rPr>
        <w:t>quent tax years to 2026</w:t>
      </w:r>
      <w:r w:rsidR="00214730">
        <w:rPr>
          <w:rFonts w:ascii="Arial" w:hAnsi="Arial" w:cs="Arial"/>
          <w:bCs/>
          <w:lang w:val="en"/>
        </w:rPr>
        <w:t>.</w:t>
      </w:r>
    </w:p>
    <w:p w14:paraId="162C798B" w14:textId="77777777" w:rsidR="007379C6" w:rsidRPr="00214730" w:rsidRDefault="007379C6" w:rsidP="00214730">
      <w:pPr>
        <w:rPr>
          <w:rFonts w:ascii="Arial" w:hAnsi="Arial" w:cs="Arial"/>
          <w:color w:val="FF0000"/>
          <w:sz w:val="22"/>
          <w:szCs w:val="22"/>
          <w:lang w:eastAsia="en-GB"/>
        </w:rPr>
      </w:pPr>
    </w:p>
    <w:p w14:paraId="291C70E1" w14:textId="156CF5C0" w:rsidR="00120189" w:rsidRPr="00214730" w:rsidRDefault="00120189" w:rsidP="00214730">
      <w:pPr>
        <w:rPr>
          <w:rFonts w:ascii="Arial" w:hAnsi="Arial" w:cs="Arial"/>
          <w:b/>
          <w:bCs/>
          <w:color w:val="242424"/>
          <w:sz w:val="22"/>
          <w:szCs w:val="22"/>
          <w:shd w:val="clear" w:color="auto" w:fill="FFFFFF"/>
        </w:rPr>
      </w:pPr>
      <w:r w:rsidRPr="00214730">
        <w:rPr>
          <w:rFonts w:ascii="Arial" w:hAnsi="Arial" w:cs="Arial"/>
          <w:b/>
          <w:bCs/>
          <w:color w:val="242424"/>
          <w:sz w:val="22"/>
          <w:szCs w:val="22"/>
          <w:shd w:val="clear" w:color="auto" w:fill="FFFFFF"/>
        </w:rPr>
        <w:t xml:space="preserve">Powers </w:t>
      </w:r>
    </w:p>
    <w:p w14:paraId="1DC0D507" w14:textId="79A9A492" w:rsidR="00490B2C" w:rsidRPr="00214730" w:rsidRDefault="00120189" w:rsidP="00214730">
      <w:pPr>
        <w:rPr>
          <w:rFonts w:ascii="Arial" w:hAnsi="Arial" w:cs="Arial"/>
          <w:color w:val="242424"/>
          <w:sz w:val="22"/>
          <w:szCs w:val="22"/>
          <w:shd w:val="clear" w:color="auto" w:fill="FFFFFF"/>
        </w:rPr>
      </w:pPr>
      <w:r w:rsidRPr="00214730">
        <w:rPr>
          <w:rFonts w:ascii="Arial" w:hAnsi="Arial" w:cs="Arial"/>
          <w:color w:val="242424"/>
          <w:sz w:val="22"/>
          <w:szCs w:val="22"/>
          <w:shd w:val="clear" w:color="auto" w:fill="FFFFFF"/>
        </w:rPr>
        <w:t xml:space="preserve">HMRC will have new powers relating to offshore tax avoidance schemes, allowing them to target the UK based entities which act as go-betweens. The rules would allow HMRC to impose additional penalties on UK facilitators, apply to the courts for freezing orders to prevent funds being dissipated and for winding up orders against companies or partnerships </w:t>
      </w:r>
      <w:r w:rsidR="00214730">
        <w:rPr>
          <w:rFonts w:ascii="Arial" w:hAnsi="Arial" w:cs="Arial"/>
          <w:color w:val="242424"/>
          <w:sz w:val="22"/>
          <w:szCs w:val="22"/>
          <w:shd w:val="clear" w:color="auto" w:fill="FFFFFF"/>
        </w:rPr>
        <w:t>‘</w:t>
      </w:r>
      <w:r w:rsidRPr="00214730">
        <w:rPr>
          <w:rFonts w:ascii="Arial" w:hAnsi="Arial" w:cs="Arial"/>
          <w:color w:val="242424"/>
          <w:sz w:val="22"/>
          <w:szCs w:val="22"/>
          <w:shd w:val="clear" w:color="auto" w:fill="FFFFFF"/>
        </w:rPr>
        <w:t>operating against the public interest</w:t>
      </w:r>
      <w:r w:rsidR="00214730">
        <w:rPr>
          <w:rFonts w:ascii="Arial" w:hAnsi="Arial" w:cs="Arial"/>
          <w:color w:val="242424"/>
          <w:sz w:val="22"/>
          <w:szCs w:val="22"/>
          <w:shd w:val="clear" w:color="auto" w:fill="FFFFFF"/>
        </w:rPr>
        <w:t>’</w:t>
      </w:r>
      <w:r w:rsidRPr="00214730">
        <w:rPr>
          <w:rFonts w:ascii="Arial" w:hAnsi="Arial" w:cs="Arial"/>
          <w:color w:val="242424"/>
          <w:sz w:val="22"/>
          <w:szCs w:val="22"/>
          <w:shd w:val="clear" w:color="auto" w:fill="FFFFFF"/>
        </w:rPr>
        <w:t>. The rules also create a power to name promoters and share the details of their schemes. Although the powers would not come into force until Royal Assent, they can be used in respect of evidence or activities predating Assent.</w:t>
      </w:r>
    </w:p>
    <w:p w14:paraId="3E35ABBC" w14:textId="2C0A1554" w:rsidR="00E75062" w:rsidRPr="00214730" w:rsidRDefault="00E75062" w:rsidP="00214730">
      <w:pPr>
        <w:rPr>
          <w:rFonts w:ascii="Arial" w:hAnsi="Arial" w:cs="Arial"/>
          <w:color w:val="242424"/>
          <w:sz w:val="22"/>
          <w:szCs w:val="22"/>
          <w:shd w:val="clear" w:color="auto" w:fill="FFFFFF"/>
        </w:rPr>
      </w:pPr>
    </w:p>
    <w:p w14:paraId="674A456C" w14:textId="546C1000" w:rsidR="00E75062" w:rsidRPr="00214730" w:rsidRDefault="00214730" w:rsidP="00214730">
      <w:pPr>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New powers will also allow </w:t>
      </w:r>
      <w:r w:rsidR="00E75062" w:rsidRPr="00214730">
        <w:rPr>
          <w:rFonts w:ascii="Arial" w:hAnsi="Arial" w:cs="Arial"/>
          <w:color w:val="242424"/>
          <w:sz w:val="22"/>
          <w:szCs w:val="22"/>
          <w:shd w:val="clear" w:color="auto" w:fill="FFFFFF"/>
        </w:rPr>
        <w:t xml:space="preserve">HM Treasury </w:t>
      </w:r>
      <w:r>
        <w:rPr>
          <w:rFonts w:ascii="Arial" w:hAnsi="Arial" w:cs="Arial"/>
          <w:color w:val="242424"/>
          <w:sz w:val="22"/>
          <w:szCs w:val="22"/>
          <w:shd w:val="clear" w:color="auto" w:fill="FFFFFF"/>
        </w:rPr>
        <w:t>to</w:t>
      </w:r>
      <w:r w:rsidR="00E75062" w:rsidRPr="00214730">
        <w:rPr>
          <w:rFonts w:ascii="Arial" w:hAnsi="Arial" w:cs="Arial"/>
          <w:color w:val="242424"/>
          <w:sz w:val="22"/>
          <w:szCs w:val="22"/>
          <w:shd w:val="clear" w:color="auto" w:fill="FFFFFF"/>
        </w:rPr>
        <w:t xml:space="preserve"> make temporary modifications</w:t>
      </w:r>
      <w:r w:rsidR="00E75062" w:rsidRPr="00214730">
        <w:rPr>
          <w:rFonts w:ascii="Arial" w:hAnsi="Arial" w:cs="Arial"/>
          <w:color w:val="242424"/>
          <w:sz w:val="22"/>
          <w:szCs w:val="22"/>
          <w:shd w:val="clear" w:color="auto" w:fill="FFFFFF"/>
          <w:lang w:val="en"/>
        </w:rPr>
        <w:t> to </w:t>
      </w:r>
      <w:r w:rsidR="00E75062" w:rsidRPr="00214730">
        <w:rPr>
          <w:rFonts w:ascii="Arial" w:hAnsi="Arial" w:cs="Arial"/>
          <w:color w:val="242424"/>
          <w:sz w:val="22"/>
          <w:szCs w:val="22"/>
          <w:shd w:val="clear" w:color="auto" w:fill="FFFFFF"/>
        </w:rPr>
        <w:t>support taxpayers in the event of a disaster or emergency of national significance including exempting benefits in kind and specified reimbursements or providing relief for specified expenses.</w:t>
      </w:r>
    </w:p>
    <w:p w14:paraId="19E0FCAD" w14:textId="77777777" w:rsidR="00E75062" w:rsidRPr="00214730" w:rsidRDefault="00E75062" w:rsidP="00214730">
      <w:pPr>
        <w:rPr>
          <w:rFonts w:ascii="Arial" w:hAnsi="Arial" w:cs="Arial"/>
          <w:b/>
          <w:color w:val="FF0000"/>
          <w:sz w:val="22"/>
          <w:szCs w:val="22"/>
        </w:rPr>
      </w:pPr>
    </w:p>
    <w:p w14:paraId="3E307472" w14:textId="77777777" w:rsidR="00425ED1" w:rsidRPr="00214730" w:rsidRDefault="00425ED1" w:rsidP="00214730">
      <w:pPr>
        <w:rPr>
          <w:rFonts w:ascii="Arial" w:hAnsi="Arial" w:cs="Arial"/>
          <w:b/>
          <w:sz w:val="22"/>
          <w:szCs w:val="22"/>
        </w:rPr>
      </w:pPr>
      <w:r w:rsidRPr="00214730">
        <w:rPr>
          <w:rFonts w:ascii="Arial" w:hAnsi="Arial" w:cs="Arial"/>
          <w:b/>
          <w:sz w:val="22"/>
          <w:szCs w:val="22"/>
        </w:rPr>
        <w:t>Time to pay</w:t>
      </w:r>
    </w:p>
    <w:p w14:paraId="63F00A2F" w14:textId="77777777" w:rsidR="00425ED1" w:rsidRPr="00214730" w:rsidRDefault="00425ED1" w:rsidP="00214730">
      <w:pPr>
        <w:rPr>
          <w:rFonts w:ascii="Arial" w:hAnsi="Arial" w:cs="Arial"/>
          <w:b/>
          <w:bCs/>
          <w:sz w:val="22"/>
          <w:szCs w:val="22"/>
          <w:lang w:eastAsia="en-GB"/>
        </w:rPr>
      </w:pPr>
      <w:r w:rsidRPr="00214730">
        <w:rPr>
          <w:rFonts w:ascii="Arial" w:hAnsi="Arial" w:cs="Arial"/>
          <w:sz w:val="22"/>
          <w:szCs w:val="22"/>
          <w:lang w:eastAsia="en-GB"/>
        </w:rPr>
        <w:t xml:space="preserve">Taxpayers can set up a payment plan </w:t>
      </w:r>
      <w:hyperlink r:id="rId11" w:tgtFrame="_blank" w:history="1">
        <w:r w:rsidRPr="00214730">
          <w:rPr>
            <w:rFonts w:ascii="Arial" w:hAnsi="Arial" w:cs="Arial"/>
            <w:sz w:val="22"/>
            <w:szCs w:val="22"/>
            <w:lang w:eastAsia="en-GB"/>
          </w:rPr>
          <w:t>online via GOV.UK</w:t>
        </w:r>
      </w:hyperlink>
      <w:r w:rsidRPr="00214730">
        <w:rPr>
          <w:rFonts w:ascii="Arial" w:hAnsi="Arial" w:cs="Arial"/>
          <w:b/>
          <w:bCs/>
          <w:sz w:val="22"/>
          <w:szCs w:val="22"/>
          <w:lang w:eastAsia="en-GB"/>
        </w:rPr>
        <w:t>.</w:t>
      </w:r>
    </w:p>
    <w:p w14:paraId="0AC3A5F0" w14:textId="77777777" w:rsidR="00425ED1" w:rsidRPr="00214730" w:rsidRDefault="00425ED1" w:rsidP="00214730">
      <w:pPr>
        <w:rPr>
          <w:rFonts w:ascii="Arial" w:hAnsi="Arial" w:cs="Arial"/>
          <w:b/>
          <w:color w:val="FF0000"/>
          <w:sz w:val="22"/>
          <w:szCs w:val="22"/>
        </w:rPr>
      </w:pPr>
    </w:p>
    <w:p w14:paraId="0EC19B24" w14:textId="77777777" w:rsidR="00425ED1" w:rsidRPr="00214730" w:rsidRDefault="00425ED1" w:rsidP="00214730">
      <w:pPr>
        <w:rPr>
          <w:rFonts w:ascii="Arial" w:hAnsi="Arial" w:cs="Arial"/>
          <w:b/>
          <w:sz w:val="22"/>
          <w:szCs w:val="22"/>
        </w:rPr>
      </w:pPr>
      <w:r w:rsidRPr="00214730">
        <w:rPr>
          <w:rFonts w:ascii="Arial" w:hAnsi="Arial" w:cs="Arial"/>
          <w:b/>
          <w:sz w:val="22"/>
          <w:szCs w:val="22"/>
        </w:rPr>
        <w:t>Pensions</w:t>
      </w:r>
    </w:p>
    <w:p w14:paraId="011452F2" w14:textId="77777777" w:rsidR="00732EBD" w:rsidRPr="00214730" w:rsidRDefault="00425ED1" w:rsidP="00214730">
      <w:pPr>
        <w:rPr>
          <w:rFonts w:ascii="Arial" w:hAnsi="Arial" w:cs="Arial"/>
          <w:sz w:val="22"/>
          <w:szCs w:val="22"/>
        </w:rPr>
      </w:pPr>
      <w:r w:rsidRPr="00214730">
        <w:rPr>
          <w:rFonts w:ascii="Arial" w:hAnsi="Arial" w:cs="Arial"/>
          <w:sz w:val="22"/>
          <w:szCs w:val="22"/>
        </w:rPr>
        <w:t>The pension lifetime allowance will remain at its current level of £1,073,100 until April 2026.</w:t>
      </w:r>
    </w:p>
    <w:p w14:paraId="39B85990" w14:textId="77777777" w:rsidR="00295679" w:rsidRPr="00214730" w:rsidRDefault="00295679" w:rsidP="00214730">
      <w:pPr>
        <w:rPr>
          <w:rFonts w:ascii="Arial" w:hAnsi="Arial" w:cs="Arial"/>
          <w:b/>
          <w:color w:val="FF0000"/>
          <w:sz w:val="22"/>
          <w:szCs w:val="22"/>
        </w:rPr>
      </w:pPr>
    </w:p>
    <w:p w14:paraId="2A9557AA" w14:textId="77777777" w:rsidR="009625C7" w:rsidRDefault="009625C7" w:rsidP="00214730">
      <w:pPr>
        <w:rPr>
          <w:rFonts w:ascii="Arial" w:hAnsi="Arial" w:cs="Arial"/>
          <w:b/>
          <w:sz w:val="22"/>
          <w:szCs w:val="22"/>
        </w:rPr>
      </w:pPr>
    </w:p>
    <w:p w14:paraId="3D8E66EA" w14:textId="77777777" w:rsidR="009625C7" w:rsidRDefault="009625C7" w:rsidP="00214730">
      <w:pPr>
        <w:rPr>
          <w:rFonts w:ascii="Arial" w:hAnsi="Arial" w:cs="Arial"/>
          <w:b/>
          <w:sz w:val="22"/>
          <w:szCs w:val="22"/>
        </w:rPr>
      </w:pPr>
    </w:p>
    <w:p w14:paraId="29CC1EBA" w14:textId="77777777" w:rsidR="009625C7" w:rsidRDefault="009625C7" w:rsidP="00214730">
      <w:pPr>
        <w:rPr>
          <w:rFonts w:ascii="Arial" w:hAnsi="Arial" w:cs="Arial"/>
          <w:b/>
          <w:sz w:val="22"/>
          <w:szCs w:val="22"/>
        </w:rPr>
      </w:pPr>
    </w:p>
    <w:p w14:paraId="433F96D2" w14:textId="1B0F01FE" w:rsidR="007379C6" w:rsidRPr="00214730" w:rsidRDefault="007379C6" w:rsidP="00214730">
      <w:pPr>
        <w:rPr>
          <w:rFonts w:ascii="Arial" w:hAnsi="Arial" w:cs="Arial"/>
          <w:b/>
          <w:sz w:val="22"/>
          <w:szCs w:val="22"/>
        </w:rPr>
      </w:pPr>
      <w:r w:rsidRPr="00214730">
        <w:rPr>
          <w:rFonts w:ascii="Arial" w:hAnsi="Arial" w:cs="Arial"/>
          <w:b/>
          <w:sz w:val="22"/>
          <w:szCs w:val="22"/>
        </w:rPr>
        <w:lastRenderedPageBreak/>
        <w:t>Interest relief for landlords</w:t>
      </w:r>
    </w:p>
    <w:p w14:paraId="7989E182" w14:textId="0054C553" w:rsidR="007379C6" w:rsidRPr="00214730" w:rsidRDefault="007379C6" w:rsidP="00214730">
      <w:pPr>
        <w:rPr>
          <w:rFonts w:ascii="Arial" w:hAnsi="Arial" w:cs="Arial"/>
          <w:sz w:val="22"/>
          <w:szCs w:val="22"/>
        </w:rPr>
      </w:pPr>
      <w:r w:rsidRPr="00214730">
        <w:rPr>
          <w:rFonts w:ascii="Arial" w:hAnsi="Arial" w:cs="Arial"/>
          <w:sz w:val="22"/>
          <w:szCs w:val="22"/>
        </w:rPr>
        <w:t>Landlords will be able to obtain relief as follows:</w:t>
      </w:r>
    </w:p>
    <w:p w14:paraId="4F22B933" w14:textId="77777777" w:rsidR="00490B2C" w:rsidRPr="00214730" w:rsidRDefault="00490B2C" w:rsidP="00214730">
      <w:pPr>
        <w:rPr>
          <w:rFonts w:ascii="Arial" w:hAnsi="Arial" w:cs="Arial"/>
          <w:sz w:val="22"/>
          <w:szCs w:val="22"/>
        </w:rPr>
      </w:pPr>
    </w:p>
    <w:p w14:paraId="399D35A8" w14:textId="169C221B" w:rsidR="007379C6" w:rsidRPr="00214730" w:rsidRDefault="00490B2C" w:rsidP="00214730">
      <w:pPr>
        <w:tabs>
          <w:tab w:val="left" w:pos="2268"/>
          <w:tab w:val="left" w:pos="5529"/>
        </w:tabs>
        <w:rPr>
          <w:rFonts w:ascii="Arial" w:hAnsi="Arial" w:cs="Arial"/>
          <w:i/>
          <w:iCs/>
          <w:sz w:val="22"/>
          <w:szCs w:val="22"/>
        </w:rPr>
      </w:pPr>
      <w:r w:rsidRPr="00214730">
        <w:rPr>
          <w:rFonts w:ascii="Arial" w:hAnsi="Arial" w:cs="Arial"/>
          <w:sz w:val="22"/>
          <w:szCs w:val="22"/>
        </w:rPr>
        <w:tab/>
      </w:r>
      <w:r w:rsidR="007379C6" w:rsidRPr="00214730">
        <w:rPr>
          <w:rFonts w:ascii="Arial" w:hAnsi="Arial" w:cs="Arial"/>
          <w:i/>
          <w:iCs/>
          <w:sz w:val="22"/>
          <w:szCs w:val="22"/>
        </w:rPr>
        <w:t>Finance cost allowed in full</w:t>
      </w:r>
      <w:r w:rsidRPr="00214730">
        <w:rPr>
          <w:rFonts w:ascii="Arial" w:hAnsi="Arial" w:cs="Arial"/>
          <w:i/>
          <w:iCs/>
          <w:sz w:val="22"/>
          <w:szCs w:val="22"/>
        </w:rPr>
        <w:t xml:space="preserve"> </w:t>
      </w:r>
      <w:r w:rsidRPr="00214730">
        <w:rPr>
          <w:rFonts w:ascii="Arial" w:hAnsi="Arial" w:cs="Arial"/>
          <w:i/>
          <w:iCs/>
          <w:sz w:val="22"/>
          <w:szCs w:val="22"/>
        </w:rPr>
        <w:tab/>
      </w:r>
      <w:r w:rsidR="007379C6" w:rsidRPr="00214730">
        <w:rPr>
          <w:rFonts w:ascii="Arial" w:hAnsi="Arial" w:cs="Arial"/>
          <w:i/>
          <w:iCs/>
          <w:sz w:val="22"/>
          <w:szCs w:val="22"/>
        </w:rPr>
        <w:t>Finance cost allowed at basic rate</w:t>
      </w:r>
    </w:p>
    <w:p w14:paraId="57848207" w14:textId="47558600" w:rsidR="007379C6" w:rsidRPr="00214730" w:rsidRDefault="007379C6" w:rsidP="00214730">
      <w:pPr>
        <w:tabs>
          <w:tab w:val="left" w:pos="3119"/>
        </w:tabs>
        <w:rPr>
          <w:rFonts w:ascii="Arial" w:hAnsi="Arial" w:cs="Arial"/>
          <w:sz w:val="22"/>
          <w:szCs w:val="22"/>
        </w:rPr>
      </w:pPr>
      <w:r w:rsidRPr="00214730">
        <w:rPr>
          <w:rFonts w:ascii="Arial" w:hAnsi="Arial" w:cs="Arial"/>
          <w:sz w:val="22"/>
          <w:szCs w:val="22"/>
        </w:rPr>
        <w:t>Year to 5 April 2020</w:t>
      </w:r>
      <w:r w:rsidRPr="00214730">
        <w:rPr>
          <w:rFonts w:ascii="Arial" w:hAnsi="Arial" w:cs="Arial"/>
          <w:sz w:val="22"/>
          <w:szCs w:val="22"/>
        </w:rPr>
        <w:tab/>
      </w:r>
      <w:r w:rsidRPr="00214730">
        <w:rPr>
          <w:rFonts w:ascii="Arial" w:hAnsi="Arial" w:cs="Arial"/>
          <w:sz w:val="22"/>
          <w:szCs w:val="22"/>
        </w:rPr>
        <w:tab/>
        <w:t>25%</w:t>
      </w:r>
      <w:r w:rsidRPr="00214730">
        <w:rPr>
          <w:rFonts w:ascii="Arial" w:hAnsi="Arial" w:cs="Arial"/>
          <w:sz w:val="22"/>
          <w:szCs w:val="22"/>
        </w:rPr>
        <w:tab/>
      </w:r>
      <w:r w:rsidRPr="00214730">
        <w:rPr>
          <w:rFonts w:ascii="Arial" w:hAnsi="Arial" w:cs="Arial"/>
          <w:sz w:val="22"/>
          <w:szCs w:val="22"/>
        </w:rPr>
        <w:tab/>
      </w:r>
      <w:r w:rsidRPr="00214730">
        <w:rPr>
          <w:rFonts w:ascii="Arial" w:hAnsi="Arial" w:cs="Arial"/>
          <w:sz w:val="22"/>
          <w:szCs w:val="22"/>
        </w:rPr>
        <w:tab/>
      </w:r>
      <w:r w:rsidRPr="00214730">
        <w:rPr>
          <w:rFonts w:ascii="Arial" w:hAnsi="Arial" w:cs="Arial"/>
          <w:sz w:val="22"/>
          <w:szCs w:val="22"/>
        </w:rPr>
        <w:tab/>
      </w:r>
      <w:r w:rsidRPr="00214730">
        <w:rPr>
          <w:rFonts w:ascii="Arial" w:hAnsi="Arial" w:cs="Arial"/>
          <w:sz w:val="22"/>
          <w:szCs w:val="22"/>
        </w:rPr>
        <w:tab/>
      </w:r>
      <w:r w:rsidRPr="00214730">
        <w:rPr>
          <w:rFonts w:ascii="Arial" w:hAnsi="Arial" w:cs="Arial"/>
          <w:sz w:val="22"/>
          <w:szCs w:val="22"/>
        </w:rPr>
        <w:tab/>
      </w:r>
      <w:r w:rsidR="00490B2C" w:rsidRPr="00214730">
        <w:rPr>
          <w:rFonts w:ascii="Arial" w:hAnsi="Arial" w:cs="Arial"/>
          <w:sz w:val="22"/>
          <w:szCs w:val="22"/>
        </w:rPr>
        <w:t xml:space="preserve"> </w:t>
      </w:r>
      <w:r w:rsidRPr="00214730">
        <w:rPr>
          <w:rFonts w:ascii="Arial" w:hAnsi="Arial" w:cs="Arial"/>
          <w:sz w:val="22"/>
          <w:szCs w:val="22"/>
        </w:rPr>
        <w:t>75%</w:t>
      </w:r>
    </w:p>
    <w:p w14:paraId="117D2255" w14:textId="653C6965" w:rsidR="007379C6" w:rsidRPr="00214730" w:rsidRDefault="007379C6" w:rsidP="00214730">
      <w:pPr>
        <w:tabs>
          <w:tab w:val="left" w:pos="3119"/>
        </w:tabs>
        <w:rPr>
          <w:rFonts w:ascii="Arial" w:hAnsi="Arial" w:cs="Arial"/>
          <w:sz w:val="22"/>
          <w:szCs w:val="22"/>
        </w:rPr>
      </w:pPr>
      <w:r w:rsidRPr="00214730">
        <w:rPr>
          <w:rFonts w:ascii="Arial" w:hAnsi="Arial" w:cs="Arial"/>
          <w:sz w:val="22"/>
          <w:szCs w:val="22"/>
        </w:rPr>
        <w:t>Year to 5 April 2021</w:t>
      </w:r>
      <w:r w:rsidRPr="00214730">
        <w:rPr>
          <w:rFonts w:ascii="Arial" w:hAnsi="Arial" w:cs="Arial"/>
          <w:sz w:val="22"/>
          <w:szCs w:val="22"/>
        </w:rPr>
        <w:tab/>
      </w:r>
      <w:r w:rsidRPr="00214730">
        <w:rPr>
          <w:rFonts w:ascii="Arial" w:hAnsi="Arial" w:cs="Arial"/>
          <w:sz w:val="22"/>
          <w:szCs w:val="22"/>
        </w:rPr>
        <w:tab/>
      </w:r>
      <w:r w:rsidR="00490B2C" w:rsidRPr="00214730">
        <w:rPr>
          <w:rFonts w:ascii="Arial" w:hAnsi="Arial" w:cs="Arial"/>
          <w:sz w:val="22"/>
          <w:szCs w:val="22"/>
        </w:rPr>
        <w:t xml:space="preserve">  </w:t>
      </w:r>
      <w:r w:rsidRPr="00214730">
        <w:rPr>
          <w:rFonts w:ascii="Arial" w:hAnsi="Arial" w:cs="Arial"/>
          <w:sz w:val="22"/>
          <w:szCs w:val="22"/>
        </w:rPr>
        <w:t>0%</w:t>
      </w:r>
      <w:r w:rsidRPr="00214730">
        <w:rPr>
          <w:rFonts w:ascii="Arial" w:hAnsi="Arial" w:cs="Arial"/>
          <w:sz w:val="22"/>
          <w:szCs w:val="22"/>
        </w:rPr>
        <w:tab/>
      </w:r>
      <w:r w:rsidRPr="00214730">
        <w:rPr>
          <w:rFonts w:ascii="Arial" w:hAnsi="Arial" w:cs="Arial"/>
          <w:sz w:val="22"/>
          <w:szCs w:val="22"/>
        </w:rPr>
        <w:tab/>
      </w:r>
      <w:r w:rsidRPr="00214730">
        <w:rPr>
          <w:rFonts w:ascii="Arial" w:hAnsi="Arial" w:cs="Arial"/>
          <w:sz w:val="22"/>
          <w:szCs w:val="22"/>
        </w:rPr>
        <w:tab/>
      </w:r>
      <w:r w:rsidRPr="00214730">
        <w:rPr>
          <w:rFonts w:ascii="Arial" w:hAnsi="Arial" w:cs="Arial"/>
          <w:sz w:val="22"/>
          <w:szCs w:val="22"/>
        </w:rPr>
        <w:tab/>
      </w:r>
      <w:r w:rsidRPr="00214730">
        <w:rPr>
          <w:rFonts w:ascii="Arial" w:hAnsi="Arial" w:cs="Arial"/>
          <w:sz w:val="22"/>
          <w:szCs w:val="22"/>
        </w:rPr>
        <w:tab/>
      </w:r>
      <w:r w:rsidRPr="00214730">
        <w:rPr>
          <w:rFonts w:ascii="Arial" w:hAnsi="Arial" w:cs="Arial"/>
          <w:sz w:val="22"/>
          <w:szCs w:val="22"/>
        </w:rPr>
        <w:tab/>
        <w:t>100%</w:t>
      </w:r>
    </w:p>
    <w:p w14:paraId="5F28D99D" w14:textId="77777777" w:rsidR="00B67D22" w:rsidRPr="00214730" w:rsidRDefault="00B67D22" w:rsidP="00214730">
      <w:pPr>
        <w:rPr>
          <w:rFonts w:ascii="Arial" w:hAnsi="Arial" w:cs="Arial"/>
          <w:b/>
          <w:color w:val="FF0000"/>
          <w:sz w:val="22"/>
          <w:szCs w:val="22"/>
        </w:rPr>
      </w:pPr>
    </w:p>
    <w:p w14:paraId="72446B0E" w14:textId="45A6462A" w:rsidR="00FE73DD" w:rsidRPr="00214730" w:rsidRDefault="00A37FC5" w:rsidP="00214730">
      <w:pPr>
        <w:pStyle w:val="NoSpacing"/>
        <w:rPr>
          <w:rFonts w:ascii="Arial" w:hAnsi="Arial" w:cs="Arial"/>
          <w:b/>
          <w:bCs/>
          <w:shd w:val="clear" w:color="auto" w:fill="FFFFFF"/>
        </w:rPr>
      </w:pPr>
      <w:r w:rsidRPr="00214730">
        <w:rPr>
          <w:rFonts w:ascii="Arial" w:hAnsi="Arial" w:cs="Arial"/>
          <w:b/>
          <w:bCs/>
          <w:shd w:val="clear" w:color="auto" w:fill="FFFFFF"/>
        </w:rPr>
        <w:t xml:space="preserve">Stamp </w:t>
      </w:r>
      <w:r w:rsidR="00214730">
        <w:rPr>
          <w:rFonts w:ascii="Arial" w:hAnsi="Arial" w:cs="Arial"/>
          <w:b/>
          <w:bCs/>
          <w:shd w:val="clear" w:color="auto" w:fill="FFFFFF"/>
        </w:rPr>
        <w:t>D</w:t>
      </w:r>
      <w:r w:rsidRPr="00214730">
        <w:rPr>
          <w:rFonts w:ascii="Arial" w:hAnsi="Arial" w:cs="Arial"/>
          <w:b/>
          <w:bCs/>
          <w:shd w:val="clear" w:color="auto" w:fill="FFFFFF"/>
        </w:rPr>
        <w:t xml:space="preserve">uty </w:t>
      </w:r>
      <w:r w:rsidR="00214730">
        <w:rPr>
          <w:rFonts w:ascii="Arial" w:hAnsi="Arial" w:cs="Arial"/>
          <w:b/>
          <w:bCs/>
          <w:shd w:val="clear" w:color="auto" w:fill="FFFFFF"/>
        </w:rPr>
        <w:t>L</w:t>
      </w:r>
      <w:r w:rsidRPr="00214730">
        <w:rPr>
          <w:rFonts w:ascii="Arial" w:hAnsi="Arial" w:cs="Arial"/>
          <w:b/>
          <w:bCs/>
          <w:shd w:val="clear" w:color="auto" w:fill="FFFFFF"/>
        </w:rPr>
        <w:t xml:space="preserve">and </w:t>
      </w:r>
      <w:r w:rsidR="00214730">
        <w:rPr>
          <w:rFonts w:ascii="Arial" w:hAnsi="Arial" w:cs="Arial"/>
          <w:b/>
          <w:bCs/>
          <w:shd w:val="clear" w:color="auto" w:fill="FFFFFF"/>
        </w:rPr>
        <w:t>T</w:t>
      </w:r>
      <w:r w:rsidRPr="00214730">
        <w:rPr>
          <w:rFonts w:ascii="Arial" w:hAnsi="Arial" w:cs="Arial"/>
          <w:b/>
          <w:bCs/>
          <w:shd w:val="clear" w:color="auto" w:fill="FFFFFF"/>
        </w:rPr>
        <w:t>ax (</w:t>
      </w:r>
      <w:r w:rsidR="00FE73DD" w:rsidRPr="00214730">
        <w:rPr>
          <w:rFonts w:ascii="Arial" w:hAnsi="Arial" w:cs="Arial"/>
          <w:b/>
          <w:bCs/>
          <w:shd w:val="clear" w:color="auto" w:fill="FFFFFF"/>
        </w:rPr>
        <w:t>SDLT</w:t>
      </w:r>
      <w:r w:rsidRPr="00214730">
        <w:rPr>
          <w:rFonts w:ascii="Arial" w:hAnsi="Arial" w:cs="Arial"/>
          <w:b/>
          <w:bCs/>
          <w:shd w:val="clear" w:color="auto" w:fill="FFFFFF"/>
        </w:rPr>
        <w:t>)</w:t>
      </w:r>
      <w:r w:rsidR="00FE73DD" w:rsidRPr="00214730">
        <w:rPr>
          <w:rFonts w:ascii="Arial" w:hAnsi="Arial" w:cs="Arial"/>
          <w:b/>
          <w:bCs/>
          <w:shd w:val="clear" w:color="auto" w:fill="FFFFFF"/>
        </w:rPr>
        <w:t xml:space="preserve"> </w:t>
      </w:r>
    </w:p>
    <w:p w14:paraId="4B3DB3FA" w14:textId="3F5F72E9" w:rsidR="00CA119C" w:rsidRDefault="00067CFA" w:rsidP="00214730">
      <w:pPr>
        <w:pStyle w:val="NoSpacing"/>
        <w:rPr>
          <w:rFonts w:ascii="Arial" w:hAnsi="Arial" w:cs="Arial"/>
          <w:shd w:val="clear" w:color="auto" w:fill="FFFFFF"/>
        </w:rPr>
      </w:pPr>
      <w:r>
        <w:rPr>
          <w:rFonts w:ascii="Arial" w:hAnsi="Arial" w:cs="Arial"/>
          <w:shd w:val="clear" w:color="auto" w:fill="FFFFFF"/>
        </w:rPr>
        <w:t>As previously announced, n</w:t>
      </w:r>
      <w:r w:rsidR="00FE73DD" w:rsidRPr="00214730">
        <w:rPr>
          <w:rFonts w:ascii="Arial" w:hAnsi="Arial" w:cs="Arial"/>
          <w:shd w:val="clear" w:color="auto" w:fill="FFFFFF"/>
        </w:rPr>
        <w:t xml:space="preserve">on-UK residents </w:t>
      </w:r>
      <w:r w:rsidR="00A37FC5" w:rsidRPr="00214730">
        <w:rPr>
          <w:rFonts w:ascii="Arial" w:hAnsi="Arial" w:cs="Arial"/>
          <w:shd w:val="clear" w:color="auto" w:fill="FFFFFF"/>
        </w:rPr>
        <w:t xml:space="preserve">are </w:t>
      </w:r>
      <w:r w:rsidR="00FE73DD" w:rsidRPr="00214730">
        <w:rPr>
          <w:rFonts w:ascii="Arial" w:hAnsi="Arial" w:cs="Arial"/>
          <w:shd w:val="clear" w:color="auto" w:fill="FFFFFF"/>
        </w:rPr>
        <w:t>to pay 2% surcharge SDLT on residential property purchases from April 2021.</w:t>
      </w:r>
      <w:r w:rsidR="00A37FC5" w:rsidRPr="00214730">
        <w:rPr>
          <w:rFonts w:ascii="Arial" w:hAnsi="Arial" w:cs="Arial"/>
          <w:shd w:val="clear" w:color="auto" w:fill="FFFFFF"/>
        </w:rPr>
        <w:t xml:space="preserve"> </w:t>
      </w:r>
    </w:p>
    <w:p w14:paraId="20BDAD64" w14:textId="77777777" w:rsidR="00CA119C" w:rsidRDefault="00CA119C" w:rsidP="00214730">
      <w:pPr>
        <w:pStyle w:val="NoSpacing"/>
        <w:rPr>
          <w:rFonts w:ascii="Arial" w:hAnsi="Arial" w:cs="Arial"/>
          <w:shd w:val="clear" w:color="auto" w:fill="FFFFFF"/>
        </w:rPr>
      </w:pPr>
    </w:p>
    <w:p w14:paraId="28744B6D" w14:textId="4BFAA157" w:rsidR="00FE73DD" w:rsidRPr="00214730" w:rsidRDefault="00A37FC5" w:rsidP="00214730">
      <w:pPr>
        <w:pStyle w:val="NoSpacing"/>
        <w:rPr>
          <w:rFonts w:ascii="Arial" w:hAnsi="Arial" w:cs="Arial"/>
          <w:shd w:val="clear" w:color="auto" w:fill="FFFFFF"/>
        </w:rPr>
      </w:pPr>
      <w:r w:rsidRPr="00214730">
        <w:rPr>
          <w:rFonts w:ascii="Arial" w:hAnsi="Arial" w:cs="Arial"/>
          <w:shd w:val="clear" w:color="auto" w:fill="FFFFFF"/>
        </w:rPr>
        <w:t xml:space="preserve">The </w:t>
      </w:r>
      <w:r w:rsidR="00FE73DD" w:rsidRPr="00214730">
        <w:rPr>
          <w:rFonts w:ascii="Arial" w:hAnsi="Arial" w:cs="Arial"/>
          <w:shd w:val="clear" w:color="auto" w:fill="FFFFFF"/>
        </w:rPr>
        <w:t xml:space="preserve">SDLT </w:t>
      </w:r>
      <w:r w:rsidRPr="00214730">
        <w:rPr>
          <w:rFonts w:ascii="Arial" w:hAnsi="Arial" w:cs="Arial"/>
          <w:shd w:val="clear" w:color="auto" w:fill="FFFFFF"/>
        </w:rPr>
        <w:t>n</w:t>
      </w:r>
      <w:r w:rsidR="00FE73DD" w:rsidRPr="00214730">
        <w:rPr>
          <w:rFonts w:ascii="Arial" w:hAnsi="Arial" w:cs="Arial"/>
          <w:shd w:val="clear" w:color="auto" w:fill="FFFFFF"/>
        </w:rPr>
        <w:t>il</w:t>
      </w:r>
      <w:r w:rsidRPr="00214730">
        <w:rPr>
          <w:rFonts w:ascii="Arial" w:hAnsi="Arial" w:cs="Arial"/>
          <w:shd w:val="clear" w:color="auto" w:fill="FFFFFF"/>
        </w:rPr>
        <w:t>-</w:t>
      </w:r>
      <w:r w:rsidR="00FE73DD" w:rsidRPr="00214730">
        <w:rPr>
          <w:rFonts w:ascii="Arial" w:hAnsi="Arial" w:cs="Arial"/>
          <w:shd w:val="clear" w:color="auto" w:fill="FFFFFF"/>
        </w:rPr>
        <w:t xml:space="preserve">rate band of £500,000 for residential property purchases in England </w:t>
      </w:r>
      <w:r w:rsidRPr="00214730">
        <w:rPr>
          <w:rFonts w:ascii="Arial" w:hAnsi="Arial" w:cs="Arial"/>
          <w:shd w:val="clear" w:color="auto" w:fill="FFFFFF"/>
        </w:rPr>
        <w:t>and</w:t>
      </w:r>
      <w:r w:rsidR="00FE73DD" w:rsidRPr="00214730">
        <w:rPr>
          <w:rFonts w:ascii="Arial" w:hAnsi="Arial" w:cs="Arial"/>
          <w:shd w:val="clear" w:color="auto" w:fill="FFFFFF"/>
        </w:rPr>
        <w:t xml:space="preserve"> Northern Ireland </w:t>
      </w:r>
      <w:r w:rsidR="00067CFA">
        <w:rPr>
          <w:rFonts w:ascii="Arial" w:hAnsi="Arial" w:cs="Arial"/>
          <w:shd w:val="clear" w:color="auto" w:fill="FFFFFF"/>
        </w:rPr>
        <w:t xml:space="preserve">was </w:t>
      </w:r>
      <w:r w:rsidR="002E47D4">
        <w:rPr>
          <w:rFonts w:ascii="Arial" w:hAnsi="Arial" w:cs="Arial"/>
          <w:shd w:val="clear" w:color="auto" w:fill="FFFFFF"/>
        </w:rPr>
        <w:t xml:space="preserve">implemented from 8 July 2020 </w:t>
      </w:r>
      <w:r w:rsidR="00A055BB">
        <w:rPr>
          <w:rFonts w:ascii="Arial" w:hAnsi="Arial" w:cs="Arial"/>
          <w:shd w:val="clear" w:color="auto" w:fill="FFFFFF"/>
        </w:rPr>
        <w:t xml:space="preserve">to originally end on 31 March 2021. </w:t>
      </w:r>
      <w:r w:rsidR="00585136">
        <w:rPr>
          <w:rFonts w:ascii="Arial" w:hAnsi="Arial" w:cs="Arial"/>
          <w:shd w:val="clear" w:color="auto" w:fill="FFFFFF"/>
        </w:rPr>
        <w:t xml:space="preserve">This was subsequently </w:t>
      </w:r>
      <w:r w:rsidR="00067CFA">
        <w:rPr>
          <w:rFonts w:ascii="Arial" w:hAnsi="Arial" w:cs="Arial"/>
          <w:shd w:val="clear" w:color="auto" w:fill="FFFFFF"/>
        </w:rPr>
        <w:t xml:space="preserve">extended </w:t>
      </w:r>
      <w:r w:rsidR="00FE73DD" w:rsidRPr="00214730">
        <w:rPr>
          <w:rFonts w:ascii="Arial" w:hAnsi="Arial" w:cs="Arial"/>
          <w:shd w:val="clear" w:color="auto" w:fill="FFFFFF"/>
        </w:rPr>
        <w:t>to June 2021, reducing to £250,000 from July to September and reverting to £125,000 from October 2021.</w:t>
      </w:r>
    </w:p>
    <w:p w14:paraId="278D1A47" w14:textId="77777777" w:rsidR="00B67D22" w:rsidRPr="00214730" w:rsidRDefault="00B67D22" w:rsidP="00214730">
      <w:pPr>
        <w:rPr>
          <w:rFonts w:ascii="Arial" w:hAnsi="Arial" w:cs="Arial"/>
          <w:b/>
          <w:color w:val="FF0000"/>
          <w:sz w:val="22"/>
          <w:szCs w:val="22"/>
        </w:rPr>
      </w:pPr>
    </w:p>
    <w:p w14:paraId="59190C4C" w14:textId="64ACCF7F" w:rsidR="007379C6" w:rsidRPr="00214730" w:rsidRDefault="007501C0" w:rsidP="00214730">
      <w:pPr>
        <w:rPr>
          <w:rFonts w:ascii="Arial" w:hAnsi="Arial" w:cs="Arial"/>
          <w:b/>
          <w:sz w:val="22"/>
          <w:szCs w:val="22"/>
        </w:rPr>
      </w:pPr>
      <w:r w:rsidRPr="00214730">
        <w:rPr>
          <w:rFonts w:ascii="Arial" w:hAnsi="Arial" w:cs="Arial"/>
          <w:b/>
          <w:sz w:val="22"/>
          <w:szCs w:val="22"/>
        </w:rPr>
        <w:t xml:space="preserve">Annual </w:t>
      </w:r>
      <w:r w:rsidR="00214730">
        <w:rPr>
          <w:rFonts w:ascii="Arial" w:hAnsi="Arial" w:cs="Arial"/>
          <w:b/>
          <w:sz w:val="22"/>
          <w:szCs w:val="22"/>
        </w:rPr>
        <w:t>T</w:t>
      </w:r>
      <w:r w:rsidRPr="00214730">
        <w:rPr>
          <w:rFonts w:ascii="Arial" w:hAnsi="Arial" w:cs="Arial"/>
          <w:b/>
          <w:sz w:val="22"/>
          <w:szCs w:val="22"/>
        </w:rPr>
        <w:t xml:space="preserve">ax on </w:t>
      </w:r>
      <w:r w:rsidR="00214730">
        <w:rPr>
          <w:rFonts w:ascii="Arial" w:hAnsi="Arial" w:cs="Arial"/>
          <w:b/>
          <w:sz w:val="22"/>
          <w:szCs w:val="22"/>
        </w:rPr>
        <w:t>E</w:t>
      </w:r>
      <w:r w:rsidRPr="00214730">
        <w:rPr>
          <w:rFonts w:ascii="Arial" w:hAnsi="Arial" w:cs="Arial"/>
          <w:b/>
          <w:sz w:val="22"/>
          <w:szCs w:val="22"/>
        </w:rPr>
        <w:t xml:space="preserve">nveloped </w:t>
      </w:r>
      <w:r w:rsidR="00214730">
        <w:rPr>
          <w:rFonts w:ascii="Arial" w:hAnsi="Arial" w:cs="Arial"/>
          <w:b/>
          <w:sz w:val="22"/>
          <w:szCs w:val="22"/>
        </w:rPr>
        <w:t>D</w:t>
      </w:r>
      <w:r w:rsidRPr="00214730">
        <w:rPr>
          <w:rFonts w:ascii="Arial" w:hAnsi="Arial" w:cs="Arial"/>
          <w:b/>
          <w:sz w:val="22"/>
          <w:szCs w:val="22"/>
        </w:rPr>
        <w:t>wellings (</w:t>
      </w:r>
      <w:r w:rsidR="007379C6" w:rsidRPr="00214730">
        <w:rPr>
          <w:rFonts w:ascii="Arial" w:hAnsi="Arial" w:cs="Arial"/>
          <w:b/>
          <w:sz w:val="22"/>
          <w:szCs w:val="22"/>
        </w:rPr>
        <w:t>ATED</w:t>
      </w:r>
      <w:r w:rsidRPr="00214730">
        <w:rPr>
          <w:rFonts w:ascii="Arial" w:hAnsi="Arial" w:cs="Arial"/>
          <w:b/>
          <w:sz w:val="22"/>
          <w:szCs w:val="22"/>
        </w:rPr>
        <w:t>)</w:t>
      </w:r>
    </w:p>
    <w:p w14:paraId="669F74C2" w14:textId="4443D9D9" w:rsidR="009C5F6B" w:rsidRPr="00214730" w:rsidRDefault="009C5F6B" w:rsidP="00214730">
      <w:pPr>
        <w:rPr>
          <w:rFonts w:ascii="Arial" w:hAnsi="Arial" w:cs="Arial"/>
          <w:sz w:val="22"/>
          <w:szCs w:val="22"/>
        </w:rPr>
      </w:pPr>
      <w:r w:rsidRPr="00214730">
        <w:rPr>
          <w:rFonts w:ascii="Arial" w:hAnsi="Arial" w:cs="Arial"/>
          <w:sz w:val="22"/>
          <w:szCs w:val="22"/>
        </w:rPr>
        <w:t>The ATED charge increase</w:t>
      </w:r>
      <w:r w:rsidR="00214730">
        <w:rPr>
          <w:rFonts w:ascii="Arial" w:hAnsi="Arial" w:cs="Arial"/>
          <w:sz w:val="22"/>
          <w:szCs w:val="22"/>
        </w:rPr>
        <w:t xml:space="preserve">s </w:t>
      </w:r>
      <w:r w:rsidRPr="00214730">
        <w:rPr>
          <w:rFonts w:ascii="Arial" w:hAnsi="Arial" w:cs="Arial"/>
          <w:sz w:val="22"/>
          <w:szCs w:val="22"/>
        </w:rPr>
        <w:t xml:space="preserve">automatically each year in line with inflation (based on the previous September’s </w:t>
      </w:r>
      <w:r w:rsidR="007501C0" w:rsidRPr="00214730">
        <w:rPr>
          <w:rFonts w:ascii="Arial" w:hAnsi="Arial" w:cs="Arial"/>
          <w:sz w:val="22"/>
          <w:szCs w:val="22"/>
        </w:rPr>
        <w:t>Consumer Prices Index</w:t>
      </w:r>
      <w:r w:rsidRPr="00214730">
        <w:rPr>
          <w:rFonts w:ascii="Arial" w:hAnsi="Arial" w:cs="Arial"/>
          <w:sz w:val="22"/>
          <w:szCs w:val="22"/>
        </w:rPr>
        <w:t xml:space="preserve">). </w:t>
      </w:r>
    </w:p>
    <w:p w14:paraId="766055D4" w14:textId="77777777" w:rsidR="007379C6" w:rsidRPr="00E75062" w:rsidRDefault="007379C6" w:rsidP="007379C6">
      <w:pPr>
        <w:rPr>
          <w:rFonts w:ascii="Arial" w:hAnsi="Arial" w:cs="Arial"/>
          <w:sz w:val="22"/>
          <w:szCs w:val="22"/>
        </w:rP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7"/>
        <w:gridCol w:w="1843"/>
        <w:gridCol w:w="283"/>
        <w:gridCol w:w="2091"/>
      </w:tblGrid>
      <w:tr w:rsidR="00E75062" w:rsidRPr="00E75062" w14:paraId="6EA676F8" w14:textId="77777777" w:rsidTr="00E75062">
        <w:trPr>
          <w:trHeight w:val="255"/>
        </w:trPr>
        <w:tc>
          <w:tcPr>
            <w:tcW w:w="5147" w:type="dxa"/>
            <w:shd w:val="clear" w:color="auto" w:fill="D9D9D9"/>
            <w:noWrap/>
            <w:vAlign w:val="bottom"/>
          </w:tcPr>
          <w:p w14:paraId="68C9A372" w14:textId="165B20F6" w:rsidR="00D21829" w:rsidRPr="00E75062" w:rsidRDefault="00E75062" w:rsidP="00266F07">
            <w:pPr>
              <w:rPr>
                <w:rFonts w:ascii="Arial" w:hAnsi="Arial" w:cs="Arial"/>
                <w:sz w:val="22"/>
                <w:szCs w:val="22"/>
                <w:lang w:eastAsia="en-GB"/>
              </w:rPr>
            </w:pPr>
            <w:r w:rsidRPr="00E75062">
              <w:rPr>
                <w:rFonts w:ascii="Arial" w:hAnsi="Arial" w:cs="Arial"/>
                <w:b/>
                <w:sz w:val="22"/>
                <w:szCs w:val="22"/>
                <w:lang w:eastAsia="en-GB"/>
              </w:rPr>
              <w:t>Annual tax on enveloped dwellings (ATED)</w:t>
            </w:r>
          </w:p>
        </w:tc>
        <w:tc>
          <w:tcPr>
            <w:tcW w:w="1843" w:type="dxa"/>
            <w:shd w:val="clear" w:color="auto" w:fill="D9D9D9"/>
            <w:noWrap/>
            <w:vAlign w:val="bottom"/>
          </w:tcPr>
          <w:p w14:paraId="1A9028F4" w14:textId="25326508" w:rsidR="00D21829" w:rsidRPr="00E75062" w:rsidRDefault="00D21829" w:rsidP="00266F07">
            <w:pPr>
              <w:jc w:val="center"/>
              <w:rPr>
                <w:rFonts w:ascii="Arial" w:hAnsi="Arial" w:cs="Arial"/>
                <w:b/>
                <w:bCs/>
                <w:sz w:val="22"/>
                <w:szCs w:val="22"/>
                <w:lang w:eastAsia="en-GB"/>
              </w:rPr>
            </w:pPr>
            <w:r w:rsidRPr="00E75062">
              <w:rPr>
                <w:rFonts w:ascii="Arial" w:hAnsi="Arial" w:cs="Arial"/>
                <w:b/>
                <w:bCs/>
                <w:sz w:val="22"/>
                <w:szCs w:val="22"/>
                <w:lang w:eastAsia="en-GB"/>
              </w:rPr>
              <w:t>20</w:t>
            </w:r>
            <w:r w:rsidR="00CE4FFD" w:rsidRPr="00E75062">
              <w:rPr>
                <w:rFonts w:ascii="Arial" w:hAnsi="Arial" w:cs="Arial"/>
                <w:b/>
                <w:bCs/>
                <w:sz w:val="22"/>
                <w:szCs w:val="22"/>
                <w:lang w:eastAsia="en-GB"/>
              </w:rPr>
              <w:t>2</w:t>
            </w:r>
            <w:r w:rsidR="00E75062" w:rsidRPr="00E75062">
              <w:rPr>
                <w:rFonts w:ascii="Arial" w:hAnsi="Arial" w:cs="Arial"/>
                <w:b/>
                <w:bCs/>
                <w:sz w:val="22"/>
                <w:szCs w:val="22"/>
                <w:lang w:eastAsia="en-GB"/>
              </w:rPr>
              <w:t>2</w:t>
            </w:r>
            <w:r w:rsidR="008A7577" w:rsidRPr="00E75062">
              <w:rPr>
                <w:rFonts w:ascii="Arial" w:hAnsi="Arial" w:cs="Arial"/>
                <w:b/>
                <w:bCs/>
                <w:sz w:val="22"/>
                <w:szCs w:val="22"/>
                <w:lang w:eastAsia="en-GB"/>
              </w:rPr>
              <w:t>/2</w:t>
            </w:r>
            <w:r w:rsidR="00E75062" w:rsidRPr="00E75062">
              <w:rPr>
                <w:rFonts w:ascii="Arial" w:hAnsi="Arial" w:cs="Arial"/>
                <w:b/>
                <w:bCs/>
                <w:sz w:val="22"/>
                <w:szCs w:val="22"/>
                <w:lang w:eastAsia="en-GB"/>
              </w:rPr>
              <w:t>3</w:t>
            </w:r>
          </w:p>
        </w:tc>
        <w:tc>
          <w:tcPr>
            <w:tcW w:w="283" w:type="dxa"/>
            <w:shd w:val="clear" w:color="auto" w:fill="D9D9D9"/>
          </w:tcPr>
          <w:p w14:paraId="50464423" w14:textId="77777777" w:rsidR="00D21829" w:rsidRPr="00E75062" w:rsidRDefault="00D21829" w:rsidP="00266F07">
            <w:pPr>
              <w:jc w:val="center"/>
              <w:rPr>
                <w:rFonts w:ascii="Arial" w:hAnsi="Arial" w:cs="Arial"/>
                <w:b/>
                <w:bCs/>
                <w:sz w:val="22"/>
                <w:szCs w:val="22"/>
                <w:lang w:eastAsia="en-GB"/>
              </w:rPr>
            </w:pPr>
          </w:p>
        </w:tc>
        <w:tc>
          <w:tcPr>
            <w:tcW w:w="2091" w:type="dxa"/>
            <w:shd w:val="clear" w:color="auto" w:fill="D9D9D9"/>
            <w:noWrap/>
            <w:vAlign w:val="bottom"/>
          </w:tcPr>
          <w:p w14:paraId="277FD8A2" w14:textId="7A8AAB1D" w:rsidR="00D21829" w:rsidRPr="00E75062" w:rsidRDefault="00D21829" w:rsidP="00266F07">
            <w:pPr>
              <w:jc w:val="center"/>
              <w:rPr>
                <w:rFonts w:ascii="Arial" w:hAnsi="Arial" w:cs="Arial"/>
                <w:b/>
                <w:bCs/>
                <w:sz w:val="22"/>
                <w:szCs w:val="22"/>
                <w:lang w:eastAsia="en-GB"/>
              </w:rPr>
            </w:pPr>
            <w:r w:rsidRPr="00E75062">
              <w:rPr>
                <w:rFonts w:ascii="Arial" w:hAnsi="Arial" w:cs="Arial"/>
                <w:b/>
                <w:bCs/>
                <w:sz w:val="22"/>
                <w:szCs w:val="22"/>
                <w:lang w:eastAsia="en-GB"/>
              </w:rPr>
              <w:t>202</w:t>
            </w:r>
            <w:r w:rsidR="00E75062" w:rsidRPr="00E75062">
              <w:rPr>
                <w:rFonts w:ascii="Arial" w:hAnsi="Arial" w:cs="Arial"/>
                <w:b/>
                <w:bCs/>
                <w:sz w:val="22"/>
                <w:szCs w:val="22"/>
                <w:lang w:eastAsia="en-GB"/>
              </w:rPr>
              <w:t>1</w:t>
            </w:r>
            <w:r w:rsidRPr="00E75062">
              <w:rPr>
                <w:rFonts w:ascii="Arial" w:hAnsi="Arial" w:cs="Arial"/>
                <w:b/>
                <w:bCs/>
                <w:sz w:val="22"/>
                <w:szCs w:val="22"/>
                <w:lang w:eastAsia="en-GB"/>
              </w:rPr>
              <w:t>/2</w:t>
            </w:r>
            <w:r w:rsidR="00E75062" w:rsidRPr="00E75062">
              <w:rPr>
                <w:rFonts w:ascii="Arial" w:hAnsi="Arial" w:cs="Arial"/>
                <w:b/>
                <w:bCs/>
                <w:sz w:val="22"/>
                <w:szCs w:val="22"/>
                <w:lang w:eastAsia="en-GB"/>
              </w:rPr>
              <w:t>2</w:t>
            </w:r>
          </w:p>
        </w:tc>
      </w:tr>
      <w:tr w:rsidR="00E75062" w:rsidRPr="00E75062" w14:paraId="39C0A08C" w14:textId="77777777" w:rsidTr="00E75062">
        <w:trPr>
          <w:trHeight w:val="255"/>
        </w:trPr>
        <w:tc>
          <w:tcPr>
            <w:tcW w:w="5147" w:type="dxa"/>
            <w:noWrap/>
            <w:vAlign w:val="bottom"/>
          </w:tcPr>
          <w:p w14:paraId="0CE755FF" w14:textId="77777777" w:rsidR="00E75062" w:rsidRPr="00E75062" w:rsidRDefault="00E75062" w:rsidP="00E75062">
            <w:pPr>
              <w:rPr>
                <w:rFonts w:ascii="Arial" w:hAnsi="Arial" w:cs="Arial"/>
                <w:sz w:val="22"/>
                <w:szCs w:val="22"/>
                <w:lang w:eastAsia="en-GB"/>
              </w:rPr>
            </w:pPr>
            <w:r w:rsidRPr="00E75062">
              <w:rPr>
                <w:rFonts w:ascii="Arial" w:hAnsi="Arial" w:cs="Arial"/>
                <w:sz w:val="22"/>
                <w:szCs w:val="22"/>
                <w:lang w:eastAsia="en-GB"/>
              </w:rPr>
              <w:t>More than £0.5m but not more than £1m</w:t>
            </w:r>
          </w:p>
        </w:tc>
        <w:tc>
          <w:tcPr>
            <w:tcW w:w="1843" w:type="dxa"/>
            <w:noWrap/>
            <w:vAlign w:val="bottom"/>
          </w:tcPr>
          <w:p w14:paraId="21DAC246" w14:textId="0AF9FC07" w:rsidR="00E75062" w:rsidRPr="00E75062" w:rsidRDefault="00E75062" w:rsidP="00E75062">
            <w:pPr>
              <w:jc w:val="center"/>
              <w:rPr>
                <w:rFonts w:ascii="Arial" w:hAnsi="Arial" w:cs="Arial"/>
                <w:sz w:val="22"/>
                <w:szCs w:val="22"/>
              </w:rPr>
            </w:pPr>
            <w:r w:rsidRPr="00E75062">
              <w:rPr>
                <w:rFonts w:ascii="Arial" w:hAnsi="Arial" w:cs="Arial"/>
                <w:sz w:val="22"/>
                <w:szCs w:val="22"/>
              </w:rPr>
              <w:t>£3,800</w:t>
            </w:r>
          </w:p>
        </w:tc>
        <w:tc>
          <w:tcPr>
            <w:tcW w:w="283" w:type="dxa"/>
          </w:tcPr>
          <w:p w14:paraId="5CA6EE50" w14:textId="77777777" w:rsidR="00E75062" w:rsidRPr="00E75062" w:rsidRDefault="00E75062" w:rsidP="00E75062">
            <w:pPr>
              <w:jc w:val="center"/>
              <w:rPr>
                <w:rFonts w:ascii="Arial" w:hAnsi="Arial" w:cs="Arial"/>
                <w:sz w:val="22"/>
                <w:szCs w:val="22"/>
              </w:rPr>
            </w:pPr>
          </w:p>
        </w:tc>
        <w:tc>
          <w:tcPr>
            <w:tcW w:w="2091" w:type="dxa"/>
            <w:noWrap/>
            <w:vAlign w:val="bottom"/>
          </w:tcPr>
          <w:p w14:paraId="605BB877" w14:textId="36C26D3F" w:rsidR="00E75062" w:rsidRPr="00E75062" w:rsidRDefault="00E75062" w:rsidP="00E75062">
            <w:pPr>
              <w:jc w:val="center"/>
              <w:rPr>
                <w:rFonts w:ascii="Arial" w:hAnsi="Arial" w:cs="Arial"/>
                <w:sz w:val="22"/>
                <w:szCs w:val="22"/>
              </w:rPr>
            </w:pPr>
            <w:r w:rsidRPr="00E75062">
              <w:rPr>
                <w:rFonts w:ascii="Arial" w:hAnsi="Arial" w:cs="Arial"/>
                <w:sz w:val="22"/>
                <w:szCs w:val="22"/>
              </w:rPr>
              <w:t>£3,700</w:t>
            </w:r>
          </w:p>
        </w:tc>
      </w:tr>
      <w:tr w:rsidR="00E75062" w:rsidRPr="00E75062" w14:paraId="25B8DBDB" w14:textId="77777777" w:rsidTr="00E75062">
        <w:trPr>
          <w:trHeight w:val="255"/>
        </w:trPr>
        <w:tc>
          <w:tcPr>
            <w:tcW w:w="5147" w:type="dxa"/>
            <w:noWrap/>
            <w:vAlign w:val="bottom"/>
          </w:tcPr>
          <w:p w14:paraId="2DDBE33E" w14:textId="77777777" w:rsidR="00E75062" w:rsidRPr="00E75062" w:rsidRDefault="00E75062" w:rsidP="00E75062">
            <w:pPr>
              <w:rPr>
                <w:rFonts w:ascii="Arial" w:hAnsi="Arial" w:cs="Arial"/>
                <w:sz w:val="22"/>
                <w:szCs w:val="22"/>
                <w:lang w:eastAsia="en-GB"/>
              </w:rPr>
            </w:pPr>
            <w:r w:rsidRPr="00E75062">
              <w:rPr>
                <w:rFonts w:ascii="Arial" w:hAnsi="Arial" w:cs="Arial"/>
                <w:sz w:val="22"/>
                <w:szCs w:val="22"/>
                <w:lang w:eastAsia="en-GB"/>
              </w:rPr>
              <w:t>More than £1m but not more than £2m</w:t>
            </w:r>
          </w:p>
        </w:tc>
        <w:tc>
          <w:tcPr>
            <w:tcW w:w="1843" w:type="dxa"/>
            <w:noWrap/>
            <w:vAlign w:val="bottom"/>
          </w:tcPr>
          <w:p w14:paraId="67A986D4" w14:textId="29721DEA" w:rsidR="00E75062" w:rsidRPr="00E75062" w:rsidRDefault="00E75062" w:rsidP="00E75062">
            <w:pPr>
              <w:jc w:val="center"/>
              <w:rPr>
                <w:rFonts w:ascii="Arial" w:hAnsi="Arial" w:cs="Arial"/>
                <w:sz w:val="22"/>
                <w:szCs w:val="22"/>
              </w:rPr>
            </w:pPr>
            <w:r w:rsidRPr="00E75062">
              <w:rPr>
                <w:rFonts w:ascii="Arial" w:hAnsi="Arial" w:cs="Arial"/>
                <w:sz w:val="22"/>
                <w:szCs w:val="22"/>
              </w:rPr>
              <w:t>£7,700</w:t>
            </w:r>
          </w:p>
        </w:tc>
        <w:tc>
          <w:tcPr>
            <w:tcW w:w="283" w:type="dxa"/>
          </w:tcPr>
          <w:p w14:paraId="31868E2D" w14:textId="77777777" w:rsidR="00E75062" w:rsidRPr="00E75062" w:rsidRDefault="00E75062" w:rsidP="00E75062">
            <w:pPr>
              <w:jc w:val="center"/>
              <w:rPr>
                <w:rFonts w:ascii="Arial" w:hAnsi="Arial" w:cs="Arial"/>
                <w:sz w:val="22"/>
                <w:szCs w:val="22"/>
              </w:rPr>
            </w:pPr>
          </w:p>
        </w:tc>
        <w:tc>
          <w:tcPr>
            <w:tcW w:w="2091" w:type="dxa"/>
            <w:noWrap/>
            <w:vAlign w:val="bottom"/>
          </w:tcPr>
          <w:p w14:paraId="6DA673E4" w14:textId="5BE5E0E1" w:rsidR="00E75062" w:rsidRPr="00E75062" w:rsidRDefault="00E75062" w:rsidP="00E75062">
            <w:pPr>
              <w:jc w:val="center"/>
              <w:rPr>
                <w:rFonts w:ascii="Arial" w:hAnsi="Arial" w:cs="Arial"/>
                <w:sz w:val="22"/>
                <w:szCs w:val="22"/>
              </w:rPr>
            </w:pPr>
            <w:r w:rsidRPr="00E75062">
              <w:rPr>
                <w:rFonts w:ascii="Arial" w:hAnsi="Arial" w:cs="Arial"/>
                <w:sz w:val="22"/>
                <w:szCs w:val="22"/>
              </w:rPr>
              <w:t>£7,500</w:t>
            </w:r>
          </w:p>
        </w:tc>
      </w:tr>
      <w:tr w:rsidR="00E75062" w:rsidRPr="00E75062" w14:paraId="34066A36" w14:textId="77777777" w:rsidTr="00E75062">
        <w:trPr>
          <w:trHeight w:val="255"/>
        </w:trPr>
        <w:tc>
          <w:tcPr>
            <w:tcW w:w="5147" w:type="dxa"/>
            <w:noWrap/>
            <w:vAlign w:val="bottom"/>
          </w:tcPr>
          <w:p w14:paraId="3FD714EF" w14:textId="77777777" w:rsidR="00E75062" w:rsidRPr="00E75062" w:rsidRDefault="00E75062" w:rsidP="00E75062">
            <w:pPr>
              <w:rPr>
                <w:rFonts w:ascii="Arial" w:hAnsi="Arial" w:cs="Arial"/>
                <w:sz w:val="22"/>
                <w:szCs w:val="22"/>
                <w:lang w:eastAsia="en-GB"/>
              </w:rPr>
            </w:pPr>
            <w:r w:rsidRPr="00E75062">
              <w:rPr>
                <w:rFonts w:ascii="Arial" w:hAnsi="Arial" w:cs="Arial"/>
                <w:sz w:val="22"/>
                <w:szCs w:val="22"/>
                <w:lang w:eastAsia="en-GB"/>
              </w:rPr>
              <w:t>More than £2m but not more than £5m</w:t>
            </w:r>
          </w:p>
        </w:tc>
        <w:tc>
          <w:tcPr>
            <w:tcW w:w="1843" w:type="dxa"/>
            <w:noWrap/>
            <w:vAlign w:val="bottom"/>
          </w:tcPr>
          <w:p w14:paraId="394AED64" w14:textId="36C2481F" w:rsidR="00E75062" w:rsidRPr="00E75062" w:rsidRDefault="00E75062" w:rsidP="00E75062">
            <w:pPr>
              <w:jc w:val="center"/>
              <w:rPr>
                <w:rFonts w:ascii="Arial" w:hAnsi="Arial" w:cs="Arial"/>
                <w:sz w:val="22"/>
                <w:szCs w:val="22"/>
              </w:rPr>
            </w:pPr>
            <w:r w:rsidRPr="00E75062">
              <w:rPr>
                <w:rFonts w:ascii="Arial" w:hAnsi="Arial" w:cs="Arial"/>
                <w:sz w:val="22"/>
                <w:szCs w:val="22"/>
              </w:rPr>
              <w:t>£26,050</w:t>
            </w:r>
          </w:p>
        </w:tc>
        <w:tc>
          <w:tcPr>
            <w:tcW w:w="283" w:type="dxa"/>
          </w:tcPr>
          <w:p w14:paraId="0606F00F" w14:textId="77777777" w:rsidR="00E75062" w:rsidRPr="00E75062" w:rsidRDefault="00E75062" w:rsidP="00E75062">
            <w:pPr>
              <w:jc w:val="center"/>
              <w:rPr>
                <w:rFonts w:ascii="Arial" w:hAnsi="Arial" w:cs="Arial"/>
                <w:sz w:val="22"/>
                <w:szCs w:val="22"/>
              </w:rPr>
            </w:pPr>
          </w:p>
        </w:tc>
        <w:tc>
          <w:tcPr>
            <w:tcW w:w="2091" w:type="dxa"/>
            <w:noWrap/>
            <w:vAlign w:val="bottom"/>
          </w:tcPr>
          <w:p w14:paraId="0A81E3A2" w14:textId="1CF0ED29" w:rsidR="00E75062" w:rsidRPr="00E75062" w:rsidRDefault="00E75062" w:rsidP="00E75062">
            <w:pPr>
              <w:jc w:val="center"/>
              <w:rPr>
                <w:rFonts w:ascii="Arial" w:hAnsi="Arial" w:cs="Arial"/>
                <w:sz w:val="22"/>
                <w:szCs w:val="22"/>
              </w:rPr>
            </w:pPr>
            <w:r w:rsidRPr="00E75062">
              <w:rPr>
                <w:rFonts w:ascii="Arial" w:hAnsi="Arial" w:cs="Arial"/>
                <w:sz w:val="22"/>
                <w:szCs w:val="22"/>
              </w:rPr>
              <w:t>£25,300</w:t>
            </w:r>
          </w:p>
        </w:tc>
      </w:tr>
      <w:tr w:rsidR="00E75062" w:rsidRPr="00E75062" w14:paraId="700573F6" w14:textId="77777777" w:rsidTr="00E75062">
        <w:trPr>
          <w:trHeight w:val="255"/>
        </w:trPr>
        <w:tc>
          <w:tcPr>
            <w:tcW w:w="5147" w:type="dxa"/>
            <w:noWrap/>
            <w:vAlign w:val="bottom"/>
          </w:tcPr>
          <w:p w14:paraId="75256178" w14:textId="77777777" w:rsidR="00E75062" w:rsidRPr="00E75062" w:rsidRDefault="00E75062" w:rsidP="00E75062">
            <w:pPr>
              <w:rPr>
                <w:rFonts w:ascii="Arial" w:hAnsi="Arial" w:cs="Arial"/>
                <w:sz w:val="22"/>
                <w:szCs w:val="22"/>
                <w:lang w:eastAsia="en-GB"/>
              </w:rPr>
            </w:pPr>
            <w:r w:rsidRPr="00E75062">
              <w:rPr>
                <w:rFonts w:ascii="Arial" w:hAnsi="Arial" w:cs="Arial"/>
                <w:sz w:val="22"/>
                <w:szCs w:val="22"/>
                <w:lang w:eastAsia="en-GB"/>
              </w:rPr>
              <w:t>More than £5m but not more than £10m</w:t>
            </w:r>
          </w:p>
        </w:tc>
        <w:tc>
          <w:tcPr>
            <w:tcW w:w="1843" w:type="dxa"/>
            <w:noWrap/>
            <w:vAlign w:val="bottom"/>
          </w:tcPr>
          <w:p w14:paraId="36194037" w14:textId="5C59DB93" w:rsidR="00E75062" w:rsidRPr="00E75062" w:rsidRDefault="00E75062" w:rsidP="00E75062">
            <w:pPr>
              <w:jc w:val="center"/>
              <w:rPr>
                <w:rFonts w:ascii="Arial" w:hAnsi="Arial" w:cs="Arial"/>
                <w:sz w:val="22"/>
                <w:szCs w:val="22"/>
              </w:rPr>
            </w:pPr>
            <w:r w:rsidRPr="00E75062">
              <w:rPr>
                <w:rFonts w:ascii="Arial" w:hAnsi="Arial" w:cs="Arial"/>
                <w:sz w:val="22"/>
                <w:szCs w:val="22"/>
              </w:rPr>
              <w:t>£60,900</w:t>
            </w:r>
          </w:p>
        </w:tc>
        <w:tc>
          <w:tcPr>
            <w:tcW w:w="283" w:type="dxa"/>
          </w:tcPr>
          <w:p w14:paraId="14DE90BC" w14:textId="77777777" w:rsidR="00E75062" w:rsidRPr="00E75062" w:rsidRDefault="00E75062" w:rsidP="00E75062">
            <w:pPr>
              <w:jc w:val="center"/>
              <w:rPr>
                <w:rFonts w:ascii="Arial" w:hAnsi="Arial" w:cs="Arial"/>
                <w:sz w:val="22"/>
                <w:szCs w:val="22"/>
              </w:rPr>
            </w:pPr>
          </w:p>
        </w:tc>
        <w:tc>
          <w:tcPr>
            <w:tcW w:w="2091" w:type="dxa"/>
            <w:noWrap/>
            <w:vAlign w:val="bottom"/>
          </w:tcPr>
          <w:p w14:paraId="01C14F22" w14:textId="61C6F411" w:rsidR="00E75062" w:rsidRPr="00E75062" w:rsidRDefault="00E75062" w:rsidP="00E75062">
            <w:pPr>
              <w:jc w:val="center"/>
              <w:rPr>
                <w:rFonts w:ascii="Arial" w:hAnsi="Arial" w:cs="Arial"/>
                <w:sz w:val="22"/>
                <w:szCs w:val="22"/>
              </w:rPr>
            </w:pPr>
            <w:r w:rsidRPr="00E75062">
              <w:rPr>
                <w:rFonts w:ascii="Arial" w:hAnsi="Arial" w:cs="Arial"/>
                <w:sz w:val="22"/>
                <w:szCs w:val="22"/>
              </w:rPr>
              <w:t>£59,100</w:t>
            </w:r>
          </w:p>
        </w:tc>
      </w:tr>
      <w:tr w:rsidR="00E75062" w:rsidRPr="00E75062" w14:paraId="6CAF25B4" w14:textId="77777777" w:rsidTr="00E75062">
        <w:trPr>
          <w:trHeight w:val="255"/>
        </w:trPr>
        <w:tc>
          <w:tcPr>
            <w:tcW w:w="5147" w:type="dxa"/>
            <w:noWrap/>
            <w:vAlign w:val="bottom"/>
          </w:tcPr>
          <w:p w14:paraId="1C3E8F72" w14:textId="77777777" w:rsidR="00E75062" w:rsidRPr="00E75062" w:rsidRDefault="00E75062" w:rsidP="00E75062">
            <w:pPr>
              <w:rPr>
                <w:rFonts w:ascii="Arial" w:hAnsi="Arial" w:cs="Arial"/>
                <w:sz w:val="22"/>
                <w:szCs w:val="22"/>
                <w:lang w:eastAsia="en-GB"/>
              </w:rPr>
            </w:pPr>
            <w:r w:rsidRPr="00E75062">
              <w:rPr>
                <w:rFonts w:ascii="Arial" w:hAnsi="Arial" w:cs="Arial"/>
                <w:sz w:val="22"/>
                <w:szCs w:val="22"/>
                <w:lang w:eastAsia="en-GB"/>
              </w:rPr>
              <w:t>More than £10m but not more than £20m</w:t>
            </w:r>
          </w:p>
        </w:tc>
        <w:tc>
          <w:tcPr>
            <w:tcW w:w="1843" w:type="dxa"/>
            <w:noWrap/>
            <w:vAlign w:val="bottom"/>
          </w:tcPr>
          <w:p w14:paraId="2711C230" w14:textId="6BDBB8C1" w:rsidR="00E75062" w:rsidRPr="00E75062" w:rsidRDefault="00E75062" w:rsidP="00E75062">
            <w:pPr>
              <w:jc w:val="center"/>
              <w:rPr>
                <w:rFonts w:ascii="Arial" w:hAnsi="Arial" w:cs="Arial"/>
                <w:sz w:val="22"/>
                <w:szCs w:val="22"/>
              </w:rPr>
            </w:pPr>
            <w:r w:rsidRPr="00E75062">
              <w:rPr>
                <w:rFonts w:ascii="Arial" w:hAnsi="Arial" w:cs="Arial"/>
                <w:sz w:val="22"/>
                <w:szCs w:val="22"/>
              </w:rPr>
              <w:t>£122,250</w:t>
            </w:r>
          </w:p>
        </w:tc>
        <w:tc>
          <w:tcPr>
            <w:tcW w:w="283" w:type="dxa"/>
          </w:tcPr>
          <w:p w14:paraId="2E5D42E5" w14:textId="77777777" w:rsidR="00E75062" w:rsidRPr="00E75062" w:rsidRDefault="00E75062" w:rsidP="00E75062">
            <w:pPr>
              <w:jc w:val="center"/>
              <w:rPr>
                <w:rFonts w:ascii="Arial" w:hAnsi="Arial" w:cs="Arial"/>
                <w:sz w:val="22"/>
                <w:szCs w:val="22"/>
              </w:rPr>
            </w:pPr>
          </w:p>
        </w:tc>
        <w:tc>
          <w:tcPr>
            <w:tcW w:w="2091" w:type="dxa"/>
            <w:noWrap/>
            <w:vAlign w:val="bottom"/>
          </w:tcPr>
          <w:p w14:paraId="6F5360A2" w14:textId="288E1688" w:rsidR="00E75062" w:rsidRPr="00E75062" w:rsidRDefault="00E75062" w:rsidP="00E75062">
            <w:pPr>
              <w:jc w:val="center"/>
              <w:rPr>
                <w:rFonts w:ascii="Arial" w:hAnsi="Arial" w:cs="Arial"/>
                <w:sz w:val="22"/>
                <w:szCs w:val="22"/>
              </w:rPr>
            </w:pPr>
            <w:r w:rsidRPr="00E75062">
              <w:rPr>
                <w:rFonts w:ascii="Arial" w:hAnsi="Arial" w:cs="Arial"/>
                <w:sz w:val="22"/>
                <w:szCs w:val="22"/>
              </w:rPr>
              <w:t>£118,600</w:t>
            </w:r>
          </w:p>
        </w:tc>
      </w:tr>
      <w:tr w:rsidR="00E75062" w:rsidRPr="00E75062" w14:paraId="070D6895" w14:textId="77777777" w:rsidTr="00E75062">
        <w:trPr>
          <w:trHeight w:val="255"/>
        </w:trPr>
        <w:tc>
          <w:tcPr>
            <w:tcW w:w="5147" w:type="dxa"/>
            <w:noWrap/>
            <w:vAlign w:val="bottom"/>
          </w:tcPr>
          <w:p w14:paraId="1646582A" w14:textId="77777777" w:rsidR="00E75062" w:rsidRPr="00E75062" w:rsidRDefault="00E75062" w:rsidP="00E75062">
            <w:pPr>
              <w:rPr>
                <w:rFonts w:ascii="Arial" w:hAnsi="Arial" w:cs="Arial"/>
                <w:sz w:val="22"/>
                <w:szCs w:val="22"/>
                <w:lang w:eastAsia="en-GB"/>
              </w:rPr>
            </w:pPr>
            <w:r w:rsidRPr="00E75062">
              <w:rPr>
                <w:rFonts w:ascii="Arial" w:hAnsi="Arial" w:cs="Arial"/>
                <w:sz w:val="22"/>
                <w:szCs w:val="22"/>
                <w:lang w:eastAsia="en-GB"/>
              </w:rPr>
              <w:t>More than £20m</w:t>
            </w:r>
          </w:p>
        </w:tc>
        <w:tc>
          <w:tcPr>
            <w:tcW w:w="1843" w:type="dxa"/>
            <w:noWrap/>
            <w:vAlign w:val="bottom"/>
          </w:tcPr>
          <w:p w14:paraId="23B0FAC8" w14:textId="22675437" w:rsidR="00E75062" w:rsidRPr="00E75062" w:rsidRDefault="00E75062" w:rsidP="00E75062">
            <w:pPr>
              <w:jc w:val="center"/>
              <w:rPr>
                <w:rFonts w:ascii="Arial" w:hAnsi="Arial" w:cs="Arial"/>
                <w:sz w:val="22"/>
                <w:szCs w:val="22"/>
              </w:rPr>
            </w:pPr>
            <w:r w:rsidRPr="00E75062">
              <w:rPr>
                <w:rFonts w:ascii="Arial" w:hAnsi="Arial" w:cs="Arial"/>
                <w:sz w:val="22"/>
                <w:szCs w:val="22"/>
              </w:rPr>
              <w:t>£244,750</w:t>
            </w:r>
          </w:p>
        </w:tc>
        <w:tc>
          <w:tcPr>
            <w:tcW w:w="283" w:type="dxa"/>
          </w:tcPr>
          <w:p w14:paraId="783B0FF5" w14:textId="77777777" w:rsidR="00E75062" w:rsidRPr="00E75062" w:rsidRDefault="00E75062" w:rsidP="00E75062">
            <w:pPr>
              <w:jc w:val="center"/>
              <w:rPr>
                <w:rFonts w:ascii="Arial" w:hAnsi="Arial" w:cs="Arial"/>
                <w:sz w:val="22"/>
                <w:szCs w:val="22"/>
              </w:rPr>
            </w:pPr>
          </w:p>
        </w:tc>
        <w:tc>
          <w:tcPr>
            <w:tcW w:w="2091" w:type="dxa"/>
            <w:noWrap/>
            <w:vAlign w:val="bottom"/>
          </w:tcPr>
          <w:p w14:paraId="579194FC" w14:textId="6E031786" w:rsidR="00E75062" w:rsidRPr="00E75062" w:rsidRDefault="00E75062" w:rsidP="00E75062">
            <w:pPr>
              <w:jc w:val="center"/>
              <w:rPr>
                <w:rFonts w:ascii="Arial" w:hAnsi="Arial" w:cs="Arial"/>
                <w:sz w:val="22"/>
                <w:szCs w:val="22"/>
              </w:rPr>
            </w:pPr>
            <w:r w:rsidRPr="00E75062">
              <w:rPr>
                <w:rFonts w:ascii="Arial" w:hAnsi="Arial" w:cs="Arial"/>
                <w:sz w:val="22"/>
                <w:szCs w:val="22"/>
              </w:rPr>
              <w:t>£237,400</w:t>
            </w:r>
          </w:p>
        </w:tc>
      </w:tr>
    </w:tbl>
    <w:p w14:paraId="2D217D67" w14:textId="2C6BD54B" w:rsidR="009C5F6B" w:rsidRPr="00D122D1" w:rsidRDefault="007379C6" w:rsidP="00B67D22">
      <w:pPr>
        <w:rPr>
          <w:rFonts w:ascii="Arial" w:hAnsi="Arial" w:cs="Arial"/>
          <w:sz w:val="22"/>
          <w:szCs w:val="22"/>
        </w:rPr>
      </w:pPr>
      <w:r w:rsidRPr="009B5FF5">
        <w:rPr>
          <w:rFonts w:ascii="Arial" w:hAnsi="Arial" w:cs="Arial"/>
          <w:color w:val="FF0000"/>
          <w:sz w:val="22"/>
          <w:szCs w:val="22"/>
          <w:lang w:eastAsia="en-GB"/>
        </w:rPr>
        <w:br/>
      </w:r>
    </w:p>
    <w:p w14:paraId="7A82B5BF" w14:textId="4176112A" w:rsidR="009C5F6B" w:rsidRPr="00214730" w:rsidRDefault="009B5FF5" w:rsidP="009C5F6B">
      <w:pPr>
        <w:rPr>
          <w:rFonts w:ascii="Arial" w:hAnsi="Arial" w:cs="Arial"/>
          <w:b/>
          <w:sz w:val="22"/>
          <w:szCs w:val="22"/>
        </w:rPr>
      </w:pPr>
      <w:r w:rsidRPr="00214730">
        <w:rPr>
          <w:rFonts w:ascii="Arial" w:hAnsi="Arial" w:cs="Arial"/>
          <w:b/>
          <w:sz w:val="22"/>
          <w:szCs w:val="22"/>
        </w:rPr>
        <w:t>October</w:t>
      </w:r>
      <w:r w:rsidR="009A1E05" w:rsidRPr="00214730">
        <w:rPr>
          <w:rFonts w:ascii="Arial" w:hAnsi="Arial" w:cs="Arial"/>
          <w:b/>
          <w:sz w:val="22"/>
          <w:szCs w:val="22"/>
        </w:rPr>
        <w:t xml:space="preserve"> 2021</w:t>
      </w:r>
    </w:p>
    <w:p w14:paraId="2AE13E00" w14:textId="77777777" w:rsidR="009C5F6B" w:rsidRPr="00A625DD" w:rsidRDefault="009C5F6B" w:rsidP="00FA576A">
      <w:pPr>
        <w:rPr>
          <w:rFonts w:ascii="Arial" w:hAnsi="Arial" w:cs="Arial"/>
          <w:sz w:val="22"/>
          <w:szCs w:val="22"/>
        </w:rPr>
      </w:pPr>
    </w:p>
    <w:p w14:paraId="41779025" w14:textId="77777777" w:rsidR="00DA1DD0" w:rsidRPr="009A1E05" w:rsidRDefault="00DA1DD0" w:rsidP="00FA576A">
      <w:pPr>
        <w:rPr>
          <w:rFonts w:ascii="Arial" w:hAnsi="Arial" w:cs="Arial"/>
          <w:b/>
          <w:sz w:val="20"/>
          <w:szCs w:val="20"/>
        </w:rPr>
      </w:pPr>
      <w:r w:rsidRPr="009A1E05">
        <w:rPr>
          <w:rFonts w:ascii="Arial" w:hAnsi="Arial" w:cs="Arial"/>
          <w:b/>
          <w:sz w:val="20"/>
          <w:szCs w:val="20"/>
        </w:rPr>
        <w:t>ACCA LEGAL NOTICE</w:t>
      </w:r>
    </w:p>
    <w:p w14:paraId="22E1B848" w14:textId="7A093325" w:rsidR="00DA1DD0" w:rsidRPr="00351B17" w:rsidRDefault="00DA1DD0" w:rsidP="002925F3">
      <w:pPr>
        <w:spacing w:before="240"/>
        <w:rPr>
          <w:rFonts w:ascii="Arial" w:hAnsi="Arial" w:cs="Arial"/>
          <w:bCs/>
          <w:iCs/>
          <w:sz w:val="20"/>
          <w:szCs w:val="20"/>
        </w:rPr>
      </w:pPr>
      <w:r w:rsidRPr="009A1E05">
        <w:rPr>
          <w:rFonts w:ascii="Arial" w:hAnsi="Arial" w:cs="Arial"/>
          <w:bCs/>
          <w:sz w:val="20"/>
          <w:szCs w:val="20"/>
        </w:rPr>
        <w:t xml:space="preserve">This is a basic guide prepared by </w:t>
      </w:r>
      <w:r w:rsidRPr="00351B17">
        <w:rPr>
          <w:rStyle w:val="Emphasis"/>
          <w:rFonts w:ascii="Arial" w:hAnsi="Arial" w:cs="Arial"/>
          <w:bCs/>
          <w:i w:val="0"/>
          <w:sz w:val="20"/>
          <w:szCs w:val="20"/>
        </w:rPr>
        <w:t>ACCA UK</w:t>
      </w:r>
      <w:r w:rsidRPr="00351B17">
        <w:rPr>
          <w:rFonts w:ascii="Arial" w:hAnsi="Arial" w:cs="Arial"/>
          <w:bCs/>
          <w:iCs/>
          <w:sz w:val="20"/>
          <w:szCs w:val="20"/>
        </w:rPr>
        <w:t>'s Technical Advisory Service for members and their clients. It should not be used as a definitive guide since individual circumstances may vary. Specific advice should be obtained, where necessary.</w:t>
      </w:r>
    </w:p>
    <w:p w14:paraId="6B16243E" w14:textId="77777777" w:rsidR="00351B17" w:rsidRPr="00351B17" w:rsidRDefault="00351B17">
      <w:pPr>
        <w:spacing w:before="240"/>
        <w:rPr>
          <w:rFonts w:ascii="Arial" w:hAnsi="Arial" w:cs="Arial"/>
          <w:bCs/>
          <w:iCs/>
          <w:sz w:val="20"/>
          <w:szCs w:val="20"/>
        </w:rPr>
      </w:pPr>
    </w:p>
    <w:sectPr w:rsidR="00351B17" w:rsidRPr="00351B17" w:rsidSect="00742988">
      <w:headerReference w:type="default" r:id="rId12"/>
      <w:footerReference w:type="default" r:id="rId13"/>
      <w:headerReference w:type="first" r:id="rId14"/>
      <w:footerReference w:type="first" r:id="rId15"/>
      <w:pgSz w:w="11907" w:h="16840" w:code="9"/>
      <w:pgMar w:top="1134" w:right="1134" w:bottom="1134" w:left="1134"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B22AF" w14:textId="77777777" w:rsidR="008824CB" w:rsidRDefault="008824CB">
      <w:r>
        <w:separator/>
      </w:r>
    </w:p>
  </w:endnote>
  <w:endnote w:type="continuationSeparator" w:id="0">
    <w:p w14:paraId="183EA442" w14:textId="77777777" w:rsidR="008824CB" w:rsidRDefault="008824CB">
      <w:r>
        <w:continuationSeparator/>
      </w:r>
    </w:p>
  </w:endnote>
  <w:endnote w:type="continuationNotice" w:id="1">
    <w:p w14:paraId="744FCCA9" w14:textId="77777777" w:rsidR="008824CB" w:rsidRDefault="00882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Goth BT">
    <w:altName w:val="Microsoft YaHei"/>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EFD16" w14:textId="77777777" w:rsidR="00582450" w:rsidRDefault="00582450">
    <w:pPr>
      <w:pStyle w:val="Footer"/>
      <w:jc w:val="center"/>
      <w:rPr>
        <w:rFonts w:ascii="NewsGoth BT" w:hAnsi="NewsGoth BT"/>
        <w:sz w:val="20"/>
        <w:szCs w:val="20"/>
      </w:rPr>
    </w:pPr>
  </w:p>
  <w:p w14:paraId="0AF00279" w14:textId="77777777" w:rsidR="00582450" w:rsidRPr="00D8518A" w:rsidRDefault="00582450">
    <w:pPr>
      <w:pStyle w:val="Footer"/>
      <w:jc w:val="center"/>
      <w:rPr>
        <w:rFonts w:ascii="Arial" w:hAnsi="Arial" w:cs="Arial"/>
        <w:sz w:val="20"/>
        <w:szCs w:val="20"/>
      </w:rPr>
    </w:pPr>
    <w:r w:rsidRPr="00D8518A">
      <w:rPr>
        <w:rFonts w:ascii="Arial" w:hAnsi="Arial" w:cs="Arial"/>
        <w:sz w:val="20"/>
        <w:szCs w:val="20"/>
      </w:rPr>
      <w:fldChar w:fldCharType="begin"/>
    </w:r>
    <w:r w:rsidRPr="00D8518A">
      <w:rPr>
        <w:rFonts w:ascii="Arial" w:hAnsi="Arial" w:cs="Arial"/>
        <w:sz w:val="20"/>
        <w:szCs w:val="20"/>
      </w:rPr>
      <w:instrText xml:space="preserve"> PAGE   \* MERGEFORMAT </w:instrText>
    </w:r>
    <w:r w:rsidRPr="00D8518A">
      <w:rPr>
        <w:rFonts w:ascii="Arial" w:hAnsi="Arial" w:cs="Arial"/>
        <w:sz w:val="20"/>
        <w:szCs w:val="20"/>
      </w:rPr>
      <w:fldChar w:fldCharType="separate"/>
    </w:r>
    <w:r w:rsidR="00780825" w:rsidRPr="00D8518A">
      <w:rPr>
        <w:rFonts w:ascii="Arial" w:hAnsi="Arial" w:cs="Arial"/>
        <w:noProof/>
        <w:sz w:val="20"/>
        <w:szCs w:val="20"/>
      </w:rPr>
      <w:t>2</w:t>
    </w:r>
    <w:r w:rsidRPr="00D8518A">
      <w:rPr>
        <w:rFonts w:ascii="Arial" w:hAnsi="Arial" w:cs="Arial"/>
        <w:sz w:val="20"/>
        <w:szCs w:val="20"/>
      </w:rPr>
      <w:fldChar w:fldCharType="end"/>
    </w:r>
  </w:p>
  <w:p w14:paraId="349B8864" w14:textId="77777777" w:rsidR="00582450" w:rsidRPr="009118B9" w:rsidRDefault="00582450" w:rsidP="009118B9">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115AD" w14:textId="77777777" w:rsidR="00582450" w:rsidRDefault="00582450">
    <w:pPr>
      <w:pStyle w:val="Footer"/>
      <w:jc w:val="center"/>
    </w:pPr>
  </w:p>
  <w:p w14:paraId="5CE98D26" w14:textId="77777777" w:rsidR="00582450" w:rsidRPr="00826DC4" w:rsidRDefault="00582450" w:rsidP="00060939">
    <w:pPr>
      <w:pStyle w:val="Footer"/>
      <w:jc w:val="center"/>
      <w:rPr>
        <w:rFonts w:ascii="Arial" w:hAnsi="Arial" w:cs="Arial"/>
        <w:sz w:val="20"/>
        <w:szCs w:val="20"/>
      </w:rPr>
    </w:pPr>
    <w:r w:rsidRPr="00826DC4">
      <w:rPr>
        <w:rFonts w:ascii="Arial" w:hAnsi="Arial" w:cs="Arial"/>
        <w:sz w:val="20"/>
        <w:szCs w:val="20"/>
      </w:rPr>
      <w:fldChar w:fldCharType="begin"/>
    </w:r>
    <w:r w:rsidRPr="00826DC4">
      <w:rPr>
        <w:rFonts w:ascii="Arial" w:hAnsi="Arial" w:cs="Arial"/>
        <w:sz w:val="20"/>
        <w:szCs w:val="20"/>
      </w:rPr>
      <w:instrText xml:space="preserve"> PAGE   \* MERGEFORMAT </w:instrText>
    </w:r>
    <w:r w:rsidRPr="00826DC4">
      <w:rPr>
        <w:rFonts w:ascii="Arial" w:hAnsi="Arial" w:cs="Arial"/>
        <w:sz w:val="20"/>
        <w:szCs w:val="20"/>
      </w:rPr>
      <w:fldChar w:fldCharType="separate"/>
    </w:r>
    <w:r w:rsidR="00780825" w:rsidRPr="00826DC4">
      <w:rPr>
        <w:rFonts w:ascii="Arial" w:hAnsi="Arial" w:cs="Arial"/>
        <w:noProof/>
        <w:sz w:val="20"/>
        <w:szCs w:val="20"/>
      </w:rPr>
      <w:t>1</w:t>
    </w:r>
    <w:r w:rsidRPr="00826DC4">
      <w:rPr>
        <w:rFonts w:ascii="Arial" w:hAnsi="Arial" w:cs="Arial"/>
        <w:sz w:val="20"/>
        <w:szCs w:val="20"/>
      </w:rPr>
      <w:fldChar w:fldCharType="end"/>
    </w:r>
  </w:p>
  <w:p w14:paraId="06D8DC06" w14:textId="77777777" w:rsidR="00582450" w:rsidRDefault="00582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CCFC2" w14:textId="77777777" w:rsidR="008824CB" w:rsidRDefault="008824CB">
      <w:r>
        <w:separator/>
      </w:r>
    </w:p>
  </w:footnote>
  <w:footnote w:type="continuationSeparator" w:id="0">
    <w:p w14:paraId="0C17D3A2" w14:textId="77777777" w:rsidR="008824CB" w:rsidRDefault="008824CB">
      <w:r>
        <w:continuationSeparator/>
      </w:r>
    </w:p>
  </w:footnote>
  <w:footnote w:type="continuationNotice" w:id="1">
    <w:p w14:paraId="755F795C" w14:textId="77777777" w:rsidR="008824CB" w:rsidRDefault="00882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94AE7" w14:textId="77777777" w:rsidR="00582450" w:rsidRDefault="00582450" w:rsidP="001B6823">
    <w:pPr>
      <w:pStyle w:val="Header"/>
      <w:tabs>
        <w:tab w:val="clear" w:pos="4153"/>
        <w:tab w:val="clear" w:pos="8306"/>
        <w:tab w:val="left" w:pos="56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33C4E" w14:textId="2CA920D6" w:rsidR="00582450" w:rsidRPr="00955165" w:rsidRDefault="00A75D98" w:rsidP="00A75D98">
    <w:pPr>
      <w:pStyle w:val="Header"/>
      <w:jc w:val="right"/>
      <w:rPr>
        <w:rFonts w:ascii="Arial" w:hAnsi="Arial" w:cs="Arial"/>
        <w:noProof/>
        <w:color w:val="000000"/>
        <w:sz w:val="20"/>
        <w:szCs w:val="20"/>
        <w:lang w:eastAsia="en-GB"/>
      </w:rPr>
    </w:pPr>
    <w:r w:rsidRPr="00F378E2">
      <w:rPr>
        <w:noProof/>
        <w:lang w:eastAsia="en-GB"/>
      </w:rPr>
      <w:drawing>
        <wp:inline distT="0" distB="0" distL="0" distR="0" wp14:anchorId="6F5D794C" wp14:editId="7003445B">
          <wp:extent cx="2420212" cy="7620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7364" cy="761103"/>
                  </a:xfrm>
                  <a:prstGeom prst="rect">
                    <a:avLst/>
                  </a:prstGeom>
                  <a:noFill/>
                  <a:ln>
                    <a:noFill/>
                  </a:ln>
                </pic:spPr>
              </pic:pic>
            </a:graphicData>
          </a:graphic>
        </wp:inline>
      </w:drawing>
    </w:r>
  </w:p>
  <w:p w14:paraId="1BBD4DB6" w14:textId="77777777" w:rsidR="00582450" w:rsidRDefault="00582450" w:rsidP="00060939">
    <w:pPr>
      <w:pStyle w:val="Header"/>
      <w:shd w:val="clear" w:color="auto" w:fill="D9D9D9"/>
      <w:tabs>
        <w:tab w:val="clear" w:pos="8306"/>
        <w:tab w:val="left" w:pos="567"/>
        <w:tab w:val="left" w:pos="1320"/>
        <w:tab w:val="left" w:pos="4153"/>
      </w:tabs>
      <w:ind w:firstLine="567"/>
      <w:rPr>
        <w:rFonts w:ascii="Arial" w:hAnsi="Arial" w:cs="Arial"/>
        <w:noProof/>
        <w:color w:val="000000"/>
        <w:sz w:val="28"/>
        <w:szCs w:val="28"/>
        <w:lang w:eastAsia="en-GB"/>
      </w:rPr>
    </w:pPr>
    <w:r>
      <w:rPr>
        <w:rFonts w:ascii="Arial" w:hAnsi="Arial" w:cs="Arial"/>
        <w:noProof/>
        <w:color w:val="000000"/>
        <w:sz w:val="28"/>
        <w:szCs w:val="28"/>
        <w:lang w:eastAsia="en-GB"/>
      </w:rPr>
      <w:tab/>
    </w:r>
    <w:r>
      <w:rPr>
        <w:rFonts w:ascii="Arial" w:hAnsi="Arial" w:cs="Arial"/>
        <w:noProof/>
        <w:color w:val="000000"/>
        <w:sz w:val="28"/>
        <w:szCs w:val="28"/>
        <w:lang w:eastAsia="en-GB"/>
      </w:rPr>
      <w:tab/>
    </w:r>
  </w:p>
  <w:p w14:paraId="485AFCA2" w14:textId="77777777" w:rsidR="00582450" w:rsidRPr="001A3DC3" w:rsidRDefault="00582450" w:rsidP="008A7D29">
    <w:pPr>
      <w:pStyle w:val="Header"/>
      <w:shd w:val="clear" w:color="auto" w:fill="D9D9D9"/>
      <w:tabs>
        <w:tab w:val="clear" w:pos="4153"/>
        <w:tab w:val="clear" w:pos="8306"/>
        <w:tab w:val="left" w:pos="284"/>
      </w:tabs>
      <w:rPr>
        <w:rFonts w:ascii="Arial" w:hAnsi="Arial" w:cs="Arial"/>
        <w:b/>
        <w:bCs/>
        <w:sz w:val="28"/>
        <w:szCs w:val="28"/>
      </w:rPr>
    </w:pPr>
    <w:r>
      <w:rPr>
        <w:rFonts w:ascii="Arial" w:hAnsi="Arial" w:cs="Arial"/>
        <w:noProof/>
        <w:color w:val="000000"/>
        <w:sz w:val="28"/>
        <w:szCs w:val="28"/>
        <w:lang w:eastAsia="en-GB"/>
      </w:rPr>
      <w:tab/>
      <w:t>Guide from</w:t>
    </w:r>
  </w:p>
  <w:p w14:paraId="659AB18F" w14:textId="77777777" w:rsidR="00582450" w:rsidRPr="001A3DC3" w:rsidRDefault="00582450" w:rsidP="008A7D29">
    <w:pPr>
      <w:pStyle w:val="Header"/>
      <w:shd w:val="clear" w:color="auto" w:fill="D9D9D9"/>
      <w:tabs>
        <w:tab w:val="clear" w:pos="4153"/>
        <w:tab w:val="clear" w:pos="8306"/>
        <w:tab w:val="left" w:pos="284"/>
      </w:tabs>
      <w:rPr>
        <w:rFonts w:ascii="Arial" w:hAnsi="Arial" w:cs="Arial"/>
        <w:b/>
        <w:bCs/>
        <w:sz w:val="44"/>
        <w:szCs w:val="44"/>
      </w:rPr>
    </w:pPr>
    <w:r>
      <w:rPr>
        <w:rFonts w:ascii="Arial" w:hAnsi="Arial" w:cs="Arial"/>
        <w:bCs/>
        <w:sz w:val="44"/>
        <w:szCs w:val="44"/>
      </w:rPr>
      <w:tab/>
    </w:r>
    <w:r w:rsidRPr="001A3DC3">
      <w:rPr>
        <w:rFonts w:ascii="Arial" w:hAnsi="Arial" w:cs="Arial"/>
        <w:bCs/>
        <w:sz w:val="44"/>
        <w:szCs w:val="44"/>
      </w:rPr>
      <w:t>[insert your firm’s name here]</w:t>
    </w:r>
  </w:p>
  <w:p w14:paraId="7A9AAB90" w14:textId="77777777" w:rsidR="00582450" w:rsidRPr="001A3DC3" w:rsidRDefault="00582450" w:rsidP="008A7D29">
    <w:pPr>
      <w:pStyle w:val="Header"/>
      <w:shd w:val="clear" w:color="auto" w:fill="D9D9D9"/>
      <w:tabs>
        <w:tab w:val="clear" w:pos="4153"/>
        <w:tab w:val="clear" w:pos="8306"/>
        <w:tab w:val="left" w:pos="915"/>
      </w:tabs>
      <w:rPr>
        <w:rFonts w:ascii="Arial" w:hAnsi="Arial" w:cs="Arial"/>
        <w:b/>
        <w:bCs/>
      </w:rPr>
    </w:pPr>
    <w:r>
      <w:rPr>
        <w:rFonts w:ascii="Arial" w:hAnsi="Arial" w:cs="Arial"/>
        <w:b/>
        <w:bCs/>
      </w:rPr>
      <w:tab/>
    </w:r>
  </w:p>
  <w:p w14:paraId="1AB4B3BE" w14:textId="77777777" w:rsidR="00582450" w:rsidRDefault="00582450" w:rsidP="008A7D29">
    <w:pPr>
      <w:pStyle w:val="Header"/>
      <w:shd w:val="clear" w:color="auto" w:fill="D9D9D9"/>
      <w:tabs>
        <w:tab w:val="clear" w:pos="4153"/>
        <w:tab w:val="clear" w:pos="8306"/>
        <w:tab w:val="left" w:pos="284"/>
      </w:tabs>
      <w:rPr>
        <w:rFonts w:ascii="Arial" w:hAnsi="Arial" w:cs="Arial"/>
        <w:bCs/>
        <w:sz w:val="20"/>
        <w:szCs w:val="20"/>
      </w:rPr>
    </w:pPr>
    <w:r>
      <w:rPr>
        <w:rFonts w:ascii="Arial" w:hAnsi="Arial" w:cs="Arial"/>
        <w:bCs/>
        <w:sz w:val="20"/>
        <w:szCs w:val="20"/>
      </w:rPr>
      <w:tab/>
    </w:r>
    <w:r w:rsidRPr="00892B85">
      <w:rPr>
        <w:rFonts w:ascii="Arial" w:hAnsi="Arial" w:cs="Arial"/>
        <w:bCs/>
        <w:sz w:val="20"/>
        <w:szCs w:val="20"/>
      </w:rPr>
      <w:t xml:space="preserve">Tel: </w:t>
    </w:r>
    <w:r>
      <w:rPr>
        <w:rFonts w:ascii="Arial" w:hAnsi="Arial" w:cs="Arial"/>
        <w:bCs/>
        <w:sz w:val="20"/>
        <w:szCs w:val="20"/>
      </w:rPr>
      <w:t>[insert telephone number here]  E</w:t>
    </w:r>
    <w:r w:rsidRPr="00892B85">
      <w:rPr>
        <w:rFonts w:ascii="Arial" w:hAnsi="Arial" w:cs="Arial"/>
        <w:bCs/>
        <w:sz w:val="20"/>
        <w:szCs w:val="20"/>
      </w:rPr>
      <w:t>mail</w:t>
    </w:r>
    <w:r>
      <w:rPr>
        <w:rFonts w:ascii="Arial" w:hAnsi="Arial" w:cs="Arial"/>
        <w:bCs/>
        <w:sz w:val="20"/>
        <w:szCs w:val="20"/>
      </w:rPr>
      <w:t>:[insert email address here]  [Insert web address here]</w:t>
    </w:r>
  </w:p>
  <w:p w14:paraId="21604064" w14:textId="77777777" w:rsidR="00582450" w:rsidRDefault="00582450" w:rsidP="008A7D29">
    <w:pPr>
      <w:pStyle w:val="Header"/>
      <w:shd w:val="clear" w:color="auto" w:fill="D9D9D9"/>
      <w:tabs>
        <w:tab w:val="clear" w:pos="4153"/>
        <w:tab w:val="clear" w:pos="8306"/>
        <w:tab w:val="left" w:pos="284"/>
      </w:tabs>
      <w:jc w:val="both"/>
      <w:rPr>
        <w:rFonts w:ascii="Arial" w:hAnsi="Arial" w:cs="Arial"/>
        <w:sz w:val="20"/>
        <w:szCs w:val="20"/>
      </w:rPr>
    </w:pPr>
  </w:p>
  <w:p w14:paraId="0492F0EF" w14:textId="77777777" w:rsidR="00582450" w:rsidRDefault="00582450" w:rsidP="008A7D29">
    <w:pPr>
      <w:pStyle w:val="Header"/>
      <w:shd w:val="clear" w:color="auto" w:fill="D9D9D9"/>
      <w:tabs>
        <w:tab w:val="clear" w:pos="4153"/>
        <w:tab w:val="clear" w:pos="8306"/>
        <w:tab w:val="left" w:pos="284"/>
      </w:tabs>
      <w:spacing w:line="360" w:lineRule="auto"/>
      <w:jc w:val="both"/>
      <w:rPr>
        <w:rFonts w:ascii="Arial" w:hAnsi="Arial" w:cs="Arial"/>
        <w:sz w:val="20"/>
        <w:szCs w:val="20"/>
      </w:rPr>
    </w:pPr>
    <w:r>
      <w:rPr>
        <w:rFonts w:ascii="Arial" w:hAnsi="Arial" w:cs="Arial"/>
        <w:sz w:val="20"/>
        <w:szCs w:val="20"/>
      </w:rPr>
      <w:tab/>
      <w:t>[Insert a line about your business here]</w:t>
    </w:r>
  </w:p>
  <w:p w14:paraId="1431A192" w14:textId="77777777" w:rsidR="00582450" w:rsidRDefault="00582450" w:rsidP="001B6823">
    <w:pPr>
      <w:pStyle w:val="Header"/>
      <w:tabs>
        <w:tab w:val="clear" w:pos="4153"/>
        <w:tab w:val="clear" w:pos="8306"/>
        <w:tab w:val="left" w:pos="284"/>
      </w:tabs>
      <w:jc w:val="both"/>
      <w:rPr>
        <w:rFonts w:ascii="Arial" w:hAnsi="Arial" w:cs="Arial"/>
        <w:i/>
        <w:color w:val="808080"/>
        <w:sz w:val="18"/>
        <w:szCs w:val="18"/>
      </w:rPr>
    </w:pPr>
  </w:p>
  <w:p w14:paraId="4F101FFA" w14:textId="77777777" w:rsidR="00582450" w:rsidRPr="00826DC4" w:rsidRDefault="00582450" w:rsidP="00B16876">
    <w:pPr>
      <w:pStyle w:val="Header"/>
      <w:tabs>
        <w:tab w:val="clear" w:pos="4153"/>
        <w:tab w:val="clear" w:pos="8306"/>
        <w:tab w:val="left" w:pos="284"/>
      </w:tabs>
      <w:jc w:val="both"/>
      <w:rPr>
        <w:rFonts w:ascii="Arial" w:hAnsi="Arial" w:cs="Arial"/>
        <w:i/>
        <w:color w:val="7F7F7F"/>
        <w:sz w:val="15"/>
        <w:szCs w:val="15"/>
      </w:rPr>
    </w:pPr>
    <w:r w:rsidRPr="00826DC4">
      <w:rPr>
        <w:rFonts w:ascii="Arial" w:hAnsi="Arial" w:cs="Arial"/>
        <w:i/>
        <w:color w:val="7F7F7F"/>
        <w:sz w:val="15"/>
        <w:szCs w:val="15"/>
      </w:rPr>
      <w:tab/>
      <w:t>Edit the above information by clicking directly within the grey panel, or by clicking ‘View’ in the main toolbar and selecting ‘Header and Footer’</w:t>
    </w:r>
  </w:p>
  <w:p w14:paraId="38A78DAA" w14:textId="77777777" w:rsidR="00582450" w:rsidRPr="001A3DC3" w:rsidRDefault="00582450" w:rsidP="001B6823">
    <w:pPr>
      <w:pStyle w:val="Header"/>
      <w:jc w:val="both"/>
      <w:rPr>
        <w:rFonts w:ascii="Arial" w:hAnsi="Arial" w:cs="Arial"/>
        <w:b/>
        <w:bCs/>
        <w:color w:val="808080"/>
        <w:sz w:val="18"/>
        <w:szCs w:val="18"/>
      </w:rPr>
    </w:pPr>
  </w:p>
  <w:p w14:paraId="0EF2966A" w14:textId="77777777" w:rsidR="00582450" w:rsidRPr="00A810D9" w:rsidRDefault="00582450" w:rsidP="001B6823">
    <w:pPr>
      <w:pStyle w:val="Header"/>
      <w:rPr>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2A7A"/>
    <w:multiLevelType w:val="hybridMultilevel"/>
    <w:tmpl w:val="AC9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470D0"/>
    <w:multiLevelType w:val="hybridMultilevel"/>
    <w:tmpl w:val="52BE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91D9F"/>
    <w:multiLevelType w:val="multilevel"/>
    <w:tmpl w:val="3972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20B94"/>
    <w:multiLevelType w:val="hybridMultilevel"/>
    <w:tmpl w:val="4406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58E8"/>
    <w:multiLevelType w:val="hybridMultilevel"/>
    <w:tmpl w:val="16D4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638DA"/>
    <w:multiLevelType w:val="hybridMultilevel"/>
    <w:tmpl w:val="60A07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F770AA"/>
    <w:multiLevelType w:val="hybridMultilevel"/>
    <w:tmpl w:val="D7D8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87031"/>
    <w:multiLevelType w:val="multilevel"/>
    <w:tmpl w:val="9AE2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F006E"/>
    <w:multiLevelType w:val="hybridMultilevel"/>
    <w:tmpl w:val="6FD6C408"/>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9" w15:restartNumberingAfterBreak="0">
    <w:nsid w:val="177755EE"/>
    <w:multiLevelType w:val="multilevel"/>
    <w:tmpl w:val="B178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5001E7"/>
    <w:multiLevelType w:val="hybridMultilevel"/>
    <w:tmpl w:val="72AE0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BC5743"/>
    <w:multiLevelType w:val="hybridMultilevel"/>
    <w:tmpl w:val="C5747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1068D7"/>
    <w:multiLevelType w:val="hybridMultilevel"/>
    <w:tmpl w:val="7E96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705A6"/>
    <w:multiLevelType w:val="hybridMultilevel"/>
    <w:tmpl w:val="418C1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2087F"/>
    <w:multiLevelType w:val="hybridMultilevel"/>
    <w:tmpl w:val="E5FA4734"/>
    <w:lvl w:ilvl="0" w:tplc="E82CA008">
      <w:start w:val="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538FC"/>
    <w:multiLevelType w:val="hybridMultilevel"/>
    <w:tmpl w:val="A64EAAFC"/>
    <w:lvl w:ilvl="0" w:tplc="07943618">
      <w:start w:val="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472DB"/>
    <w:multiLevelType w:val="hybridMultilevel"/>
    <w:tmpl w:val="F4482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3B26877"/>
    <w:multiLevelType w:val="hybridMultilevel"/>
    <w:tmpl w:val="B336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8489D"/>
    <w:multiLevelType w:val="hybridMultilevel"/>
    <w:tmpl w:val="13D0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C36CD2"/>
    <w:multiLevelType w:val="hybridMultilevel"/>
    <w:tmpl w:val="0CEE5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4040087"/>
    <w:multiLevelType w:val="hybridMultilevel"/>
    <w:tmpl w:val="054EBF5C"/>
    <w:lvl w:ilvl="0" w:tplc="5310FA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E7AAB"/>
    <w:multiLevelType w:val="hybridMultilevel"/>
    <w:tmpl w:val="ADD65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446C6F"/>
    <w:multiLevelType w:val="hybridMultilevel"/>
    <w:tmpl w:val="7DC46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D23996"/>
    <w:multiLevelType w:val="hybridMultilevel"/>
    <w:tmpl w:val="E72E7F36"/>
    <w:lvl w:ilvl="0" w:tplc="08090001">
      <w:start w:val="1"/>
      <w:numFmt w:val="bullet"/>
      <w:lvlText w:val=""/>
      <w:lvlJc w:val="left"/>
      <w:pPr>
        <w:ind w:left="1116" w:hanging="360"/>
      </w:pPr>
      <w:rPr>
        <w:rFonts w:ascii="Symbol" w:hAnsi="Symbol" w:hint="default"/>
      </w:rPr>
    </w:lvl>
    <w:lvl w:ilvl="1" w:tplc="08090003">
      <w:start w:val="1"/>
      <w:numFmt w:val="bullet"/>
      <w:lvlText w:val="o"/>
      <w:lvlJc w:val="left"/>
      <w:pPr>
        <w:ind w:left="1836" w:hanging="360"/>
      </w:pPr>
      <w:rPr>
        <w:rFonts w:ascii="Courier New" w:hAnsi="Courier New" w:hint="default"/>
      </w:rPr>
    </w:lvl>
    <w:lvl w:ilvl="2" w:tplc="08090005">
      <w:start w:val="1"/>
      <w:numFmt w:val="bullet"/>
      <w:lvlText w:val=""/>
      <w:lvlJc w:val="left"/>
      <w:pPr>
        <w:ind w:left="2556" w:hanging="360"/>
      </w:pPr>
      <w:rPr>
        <w:rFonts w:ascii="Wingdings" w:hAnsi="Wingdings" w:hint="default"/>
      </w:rPr>
    </w:lvl>
    <w:lvl w:ilvl="3" w:tplc="08090001">
      <w:start w:val="1"/>
      <w:numFmt w:val="bullet"/>
      <w:lvlText w:val=""/>
      <w:lvlJc w:val="left"/>
      <w:pPr>
        <w:ind w:left="3276" w:hanging="360"/>
      </w:pPr>
      <w:rPr>
        <w:rFonts w:ascii="Symbol" w:hAnsi="Symbol" w:hint="default"/>
      </w:rPr>
    </w:lvl>
    <w:lvl w:ilvl="4" w:tplc="08090003">
      <w:start w:val="1"/>
      <w:numFmt w:val="bullet"/>
      <w:lvlText w:val="o"/>
      <w:lvlJc w:val="left"/>
      <w:pPr>
        <w:ind w:left="3996" w:hanging="360"/>
      </w:pPr>
      <w:rPr>
        <w:rFonts w:ascii="Courier New" w:hAnsi="Courier New" w:hint="default"/>
      </w:rPr>
    </w:lvl>
    <w:lvl w:ilvl="5" w:tplc="08090005">
      <w:start w:val="1"/>
      <w:numFmt w:val="bullet"/>
      <w:lvlText w:val=""/>
      <w:lvlJc w:val="left"/>
      <w:pPr>
        <w:ind w:left="4716" w:hanging="360"/>
      </w:pPr>
      <w:rPr>
        <w:rFonts w:ascii="Wingdings" w:hAnsi="Wingdings" w:hint="default"/>
      </w:rPr>
    </w:lvl>
    <w:lvl w:ilvl="6" w:tplc="08090001">
      <w:start w:val="1"/>
      <w:numFmt w:val="bullet"/>
      <w:lvlText w:val=""/>
      <w:lvlJc w:val="left"/>
      <w:pPr>
        <w:ind w:left="5436" w:hanging="360"/>
      </w:pPr>
      <w:rPr>
        <w:rFonts w:ascii="Symbol" w:hAnsi="Symbol" w:hint="default"/>
      </w:rPr>
    </w:lvl>
    <w:lvl w:ilvl="7" w:tplc="08090003">
      <w:start w:val="1"/>
      <w:numFmt w:val="bullet"/>
      <w:lvlText w:val="o"/>
      <w:lvlJc w:val="left"/>
      <w:pPr>
        <w:ind w:left="6156" w:hanging="360"/>
      </w:pPr>
      <w:rPr>
        <w:rFonts w:ascii="Courier New" w:hAnsi="Courier New" w:hint="default"/>
      </w:rPr>
    </w:lvl>
    <w:lvl w:ilvl="8" w:tplc="08090005">
      <w:start w:val="1"/>
      <w:numFmt w:val="bullet"/>
      <w:lvlText w:val=""/>
      <w:lvlJc w:val="left"/>
      <w:pPr>
        <w:ind w:left="6876" w:hanging="360"/>
      </w:pPr>
      <w:rPr>
        <w:rFonts w:ascii="Wingdings" w:hAnsi="Wingdings" w:hint="default"/>
      </w:rPr>
    </w:lvl>
  </w:abstractNum>
  <w:abstractNum w:abstractNumId="24" w15:restartNumberingAfterBreak="0">
    <w:nsid w:val="593D382B"/>
    <w:multiLevelType w:val="hybridMultilevel"/>
    <w:tmpl w:val="F956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506C7"/>
    <w:multiLevelType w:val="multilevel"/>
    <w:tmpl w:val="7926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C01277"/>
    <w:multiLevelType w:val="hybridMultilevel"/>
    <w:tmpl w:val="00B212EA"/>
    <w:lvl w:ilvl="0" w:tplc="3BF0F0DE">
      <w:start w:val="1"/>
      <w:numFmt w:val="bullet"/>
      <w:lvlText w:val=""/>
      <w:lvlJc w:val="left"/>
      <w:pPr>
        <w:tabs>
          <w:tab w:val="num" w:pos="720"/>
        </w:tabs>
        <w:ind w:left="720" w:hanging="360"/>
      </w:pPr>
      <w:rPr>
        <w:rFonts w:ascii="Symbol" w:hAnsi="Symbol" w:hint="default"/>
        <w:sz w:val="20"/>
      </w:rPr>
    </w:lvl>
    <w:lvl w:ilvl="1" w:tplc="3BEAE3E6">
      <w:start w:val="1"/>
      <w:numFmt w:val="bullet"/>
      <w:lvlText w:val="o"/>
      <w:lvlJc w:val="left"/>
      <w:pPr>
        <w:tabs>
          <w:tab w:val="num" w:pos="1440"/>
        </w:tabs>
        <w:ind w:left="1440" w:hanging="360"/>
      </w:pPr>
      <w:rPr>
        <w:rFonts w:ascii="Courier New" w:hAnsi="Courier New" w:hint="default"/>
        <w:sz w:val="20"/>
      </w:rPr>
    </w:lvl>
    <w:lvl w:ilvl="2" w:tplc="B3A8AA60">
      <w:start w:val="1"/>
      <w:numFmt w:val="bullet"/>
      <w:lvlText w:val=""/>
      <w:lvlJc w:val="left"/>
      <w:pPr>
        <w:tabs>
          <w:tab w:val="num" w:pos="2160"/>
        </w:tabs>
        <w:ind w:left="2160" w:hanging="360"/>
      </w:pPr>
      <w:rPr>
        <w:rFonts w:ascii="Wingdings" w:hAnsi="Wingdings" w:hint="default"/>
        <w:sz w:val="20"/>
      </w:rPr>
    </w:lvl>
    <w:lvl w:ilvl="3" w:tplc="8EC20BBA">
      <w:start w:val="1"/>
      <w:numFmt w:val="bullet"/>
      <w:lvlText w:val=""/>
      <w:lvlJc w:val="left"/>
      <w:pPr>
        <w:tabs>
          <w:tab w:val="num" w:pos="2880"/>
        </w:tabs>
        <w:ind w:left="2880" w:hanging="360"/>
      </w:pPr>
      <w:rPr>
        <w:rFonts w:ascii="Wingdings" w:hAnsi="Wingdings" w:hint="default"/>
        <w:sz w:val="20"/>
      </w:rPr>
    </w:lvl>
    <w:lvl w:ilvl="4" w:tplc="2DA09E4A">
      <w:start w:val="1"/>
      <w:numFmt w:val="bullet"/>
      <w:lvlText w:val=""/>
      <w:lvlJc w:val="left"/>
      <w:pPr>
        <w:tabs>
          <w:tab w:val="num" w:pos="3600"/>
        </w:tabs>
        <w:ind w:left="3600" w:hanging="360"/>
      </w:pPr>
      <w:rPr>
        <w:rFonts w:ascii="Wingdings" w:hAnsi="Wingdings" w:hint="default"/>
        <w:sz w:val="20"/>
      </w:rPr>
    </w:lvl>
    <w:lvl w:ilvl="5" w:tplc="E786B42A">
      <w:start w:val="1"/>
      <w:numFmt w:val="bullet"/>
      <w:lvlText w:val=""/>
      <w:lvlJc w:val="left"/>
      <w:pPr>
        <w:tabs>
          <w:tab w:val="num" w:pos="4320"/>
        </w:tabs>
        <w:ind w:left="4320" w:hanging="360"/>
      </w:pPr>
      <w:rPr>
        <w:rFonts w:ascii="Wingdings" w:hAnsi="Wingdings" w:hint="default"/>
        <w:sz w:val="20"/>
      </w:rPr>
    </w:lvl>
    <w:lvl w:ilvl="6" w:tplc="5E485D3C">
      <w:start w:val="1"/>
      <w:numFmt w:val="bullet"/>
      <w:lvlText w:val=""/>
      <w:lvlJc w:val="left"/>
      <w:pPr>
        <w:tabs>
          <w:tab w:val="num" w:pos="5040"/>
        </w:tabs>
        <w:ind w:left="5040" w:hanging="360"/>
      </w:pPr>
      <w:rPr>
        <w:rFonts w:ascii="Wingdings" w:hAnsi="Wingdings" w:hint="default"/>
        <w:sz w:val="20"/>
      </w:rPr>
    </w:lvl>
    <w:lvl w:ilvl="7" w:tplc="56B27820">
      <w:start w:val="1"/>
      <w:numFmt w:val="bullet"/>
      <w:lvlText w:val=""/>
      <w:lvlJc w:val="left"/>
      <w:pPr>
        <w:tabs>
          <w:tab w:val="num" w:pos="5760"/>
        </w:tabs>
        <w:ind w:left="5760" w:hanging="360"/>
      </w:pPr>
      <w:rPr>
        <w:rFonts w:ascii="Wingdings" w:hAnsi="Wingdings" w:hint="default"/>
        <w:sz w:val="20"/>
      </w:rPr>
    </w:lvl>
    <w:lvl w:ilvl="8" w:tplc="C47C814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A26F80"/>
    <w:multiLevelType w:val="hybridMultilevel"/>
    <w:tmpl w:val="7C5C684A"/>
    <w:lvl w:ilvl="0" w:tplc="BC84B306">
      <w:start w:val="1"/>
      <w:numFmt w:val="bullet"/>
      <w:lvlText w:val=""/>
      <w:lvlJc w:val="left"/>
      <w:pPr>
        <w:tabs>
          <w:tab w:val="num" w:pos="720"/>
        </w:tabs>
        <w:ind w:left="720" w:hanging="360"/>
      </w:pPr>
      <w:rPr>
        <w:rFonts w:ascii="Symbol" w:hAnsi="Symbol" w:hint="default"/>
        <w:sz w:val="20"/>
      </w:rPr>
    </w:lvl>
    <w:lvl w:ilvl="1" w:tplc="843A4180" w:tentative="1">
      <w:start w:val="1"/>
      <w:numFmt w:val="bullet"/>
      <w:lvlText w:val="o"/>
      <w:lvlJc w:val="left"/>
      <w:pPr>
        <w:tabs>
          <w:tab w:val="num" w:pos="1440"/>
        </w:tabs>
        <w:ind w:left="1440" w:hanging="360"/>
      </w:pPr>
      <w:rPr>
        <w:rFonts w:ascii="Courier New" w:hAnsi="Courier New" w:hint="default"/>
        <w:sz w:val="20"/>
      </w:rPr>
    </w:lvl>
    <w:lvl w:ilvl="2" w:tplc="4954A138" w:tentative="1">
      <w:start w:val="1"/>
      <w:numFmt w:val="bullet"/>
      <w:lvlText w:val=""/>
      <w:lvlJc w:val="left"/>
      <w:pPr>
        <w:tabs>
          <w:tab w:val="num" w:pos="2160"/>
        </w:tabs>
        <w:ind w:left="2160" w:hanging="360"/>
      </w:pPr>
      <w:rPr>
        <w:rFonts w:ascii="Wingdings" w:hAnsi="Wingdings" w:hint="default"/>
        <w:sz w:val="20"/>
      </w:rPr>
    </w:lvl>
    <w:lvl w:ilvl="3" w:tplc="4DD8E1C8" w:tentative="1">
      <w:start w:val="1"/>
      <w:numFmt w:val="bullet"/>
      <w:lvlText w:val=""/>
      <w:lvlJc w:val="left"/>
      <w:pPr>
        <w:tabs>
          <w:tab w:val="num" w:pos="2880"/>
        </w:tabs>
        <w:ind w:left="2880" w:hanging="360"/>
      </w:pPr>
      <w:rPr>
        <w:rFonts w:ascii="Wingdings" w:hAnsi="Wingdings" w:hint="default"/>
        <w:sz w:val="20"/>
      </w:rPr>
    </w:lvl>
    <w:lvl w:ilvl="4" w:tplc="67801888" w:tentative="1">
      <w:start w:val="1"/>
      <w:numFmt w:val="bullet"/>
      <w:lvlText w:val=""/>
      <w:lvlJc w:val="left"/>
      <w:pPr>
        <w:tabs>
          <w:tab w:val="num" w:pos="3600"/>
        </w:tabs>
        <w:ind w:left="3600" w:hanging="360"/>
      </w:pPr>
      <w:rPr>
        <w:rFonts w:ascii="Wingdings" w:hAnsi="Wingdings" w:hint="default"/>
        <w:sz w:val="20"/>
      </w:rPr>
    </w:lvl>
    <w:lvl w:ilvl="5" w:tplc="83E2D2F6" w:tentative="1">
      <w:start w:val="1"/>
      <w:numFmt w:val="bullet"/>
      <w:lvlText w:val=""/>
      <w:lvlJc w:val="left"/>
      <w:pPr>
        <w:tabs>
          <w:tab w:val="num" w:pos="4320"/>
        </w:tabs>
        <w:ind w:left="4320" w:hanging="360"/>
      </w:pPr>
      <w:rPr>
        <w:rFonts w:ascii="Wingdings" w:hAnsi="Wingdings" w:hint="default"/>
        <w:sz w:val="20"/>
      </w:rPr>
    </w:lvl>
    <w:lvl w:ilvl="6" w:tplc="D22203B8" w:tentative="1">
      <w:start w:val="1"/>
      <w:numFmt w:val="bullet"/>
      <w:lvlText w:val=""/>
      <w:lvlJc w:val="left"/>
      <w:pPr>
        <w:tabs>
          <w:tab w:val="num" w:pos="5040"/>
        </w:tabs>
        <w:ind w:left="5040" w:hanging="360"/>
      </w:pPr>
      <w:rPr>
        <w:rFonts w:ascii="Wingdings" w:hAnsi="Wingdings" w:hint="default"/>
        <w:sz w:val="20"/>
      </w:rPr>
    </w:lvl>
    <w:lvl w:ilvl="7" w:tplc="09206EAC" w:tentative="1">
      <w:start w:val="1"/>
      <w:numFmt w:val="bullet"/>
      <w:lvlText w:val=""/>
      <w:lvlJc w:val="left"/>
      <w:pPr>
        <w:tabs>
          <w:tab w:val="num" w:pos="5760"/>
        </w:tabs>
        <w:ind w:left="5760" w:hanging="360"/>
      </w:pPr>
      <w:rPr>
        <w:rFonts w:ascii="Wingdings" w:hAnsi="Wingdings" w:hint="default"/>
        <w:sz w:val="20"/>
      </w:rPr>
    </w:lvl>
    <w:lvl w:ilvl="8" w:tplc="5B86994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791E18"/>
    <w:multiLevelType w:val="multilevel"/>
    <w:tmpl w:val="8A64C27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E2D8C"/>
    <w:multiLevelType w:val="hybridMultilevel"/>
    <w:tmpl w:val="12A246A2"/>
    <w:lvl w:ilvl="0" w:tplc="49A22AB0">
      <w:start w:val="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03004"/>
    <w:multiLevelType w:val="hybridMultilevel"/>
    <w:tmpl w:val="863C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66BD1"/>
    <w:multiLevelType w:val="multilevel"/>
    <w:tmpl w:val="1C4E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6"/>
  </w:num>
  <w:num w:numId="3">
    <w:abstractNumId w:val="13"/>
  </w:num>
  <w:num w:numId="4">
    <w:abstractNumId w:val="23"/>
  </w:num>
  <w:num w:numId="5">
    <w:abstractNumId w:val="31"/>
  </w:num>
  <w:num w:numId="6">
    <w:abstractNumId w:val="24"/>
  </w:num>
  <w:num w:numId="7">
    <w:abstractNumId w:val="19"/>
  </w:num>
  <w:num w:numId="8">
    <w:abstractNumId w:val="10"/>
  </w:num>
  <w:num w:numId="9">
    <w:abstractNumId w:val="16"/>
  </w:num>
  <w:num w:numId="10">
    <w:abstractNumId w:val="21"/>
  </w:num>
  <w:num w:numId="11">
    <w:abstractNumId w:val="18"/>
  </w:num>
  <w:num w:numId="12">
    <w:abstractNumId w:val="20"/>
  </w:num>
  <w:num w:numId="13">
    <w:abstractNumId w:val="17"/>
  </w:num>
  <w:num w:numId="14">
    <w:abstractNumId w:val="11"/>
  </w:num>
  <w:num w:numId="15">
    <w:abstractNumId w:val="8"/>
  </w:num>
  <w:num w:numId="16">
    <w:abstractNumId w:val="5"/>
  </w:num>
  <w:num w:numId="17">
    <w:abstractNumId w:val="5"/>
  </w:num>
  <w:num w:numId="18">
    <w:abstractNumId w:val="12"/>
  </w:num>
  <w:num w:numId="19">
    <w:abstractNumId w:val="6"/>
  </w:num>
  <w:num w:numId="20">
    <w:abstractNumId w:val="30"/>
  </w:num>
  <w:num w:numId="21">
    <w:abstractNumId w:val="0"/>
  </w:num>
  <w:num w:numId="22">
    <w:abstractNumId w:val="1"/>
  </w:num>
  <w:num w:numId="23">
    <w:abstractNumId w:val="2"/>
  </w:num>
  <w:num w:numId="24">
    <w:abstractNumId w:val="28"/>
  </w:num>
  <w:num w:numId="25">
    <w:abstractNumId w:val="27"/>
  </w:num>
  <w:num w:numId="26">
    <w:abstractNumId w:val="3"/>
  </w:num>
  <w:num w:numId="27">
    <w:abstractNumId w:val="4"/>
  </w:num>
  <w:num w:numId="28">
    <w:abstractNumId w:val="7"/>
  </w:num>
  <w:num w:numId="29">
    <w:abstractNumId w:val="9"/>
  </w:num>
  <w:num w:numId="30">
    <w:abstractNumId w:val="25"/>
  </w:num>
  <w:num w:numId="31">
    <w:abstractNumId w:val="29"/>
  </w:num>
  <w:num w:numId="32">
    <w:abstractNumId w:val="14"/>
  </w:num>
  <w:num w:numId="3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92"/>
    <w:rsid w:val="00007AE1"/>
    <w:rsid w:val="00007EA1"/>
    <w:rsid w:val="00007EA3"/>
    <w:rsid w:val="00010DA1"/>
    <w:rsid w:val="00023486"/>
    <w:rsid w:val="00024F49"/>
    <w:rsid w:val="00025A47"/>
    <w:rsid w:val="00031A0E"/>
    <w:rsid w:val="00037CC1"/>
    <w:rsid w:val="000459A6"/>
    <w:rsid w:val="0005013F"/>
    <w:rsid w:val="000554CF"/>
    <w:rsid w:val="00057526"/>
    <w:rsid w:val="00057961"/>
    <w:rsid w:val="00060939"/>
    <w:rsid w:val="00067CFA"/>
    <w:rsid w:val="000702EB"/>
    <w:rsid w:val="0007192B"/>
    <w:rsid w:val="00074DF0"/>
    <w:rsid w:val="00085CB0"/>
    <w:rsid w:val="000867B6"/>
    <w:rsid w:val="00095B10"/>
    <w:rsid w:val="00096DB3"/>
    <w:rsid w:val="000A2BEE"/>
    <w:rsid w:val="000A3CD2"/>
    <w:rsid w:val="000B4ED9"/>
    <w:rsid w:val="000C10D5"/>
    <w:rsid w:val="000C7686"/>
    <w:rsid w:val="000D47E9"/>
    <w:rsid w:val="000D620D"/>
    <w:rsid w:val="001027C3"/>
    <w:rsid w:val="001078BA"/>
    <w:rsid w:val="00120189"/>
    <w:rsid w:val="0012348F"/>
    <w:rsid w:val="0014437D"/>
    <w:rsid w:val="00154558"/>
    <w:rsid w:val="00162060"/>
    <w:rsid w:val="00162223"/>
    <w:rsid w:val="0016225D"/>
    <w:rsid w:val="001644E4"/>
    <w:rsid w:val="00170154"/>
    <w:rsid w:val="001731AA"/>
    <w:rsid w:val="00174D61"/>
    <w:rsid w:val="00175B52"/>
    <w:rsid w:val="001874FC"/>
    <w:rsid w:val="00194B7E"/>
    <w:rsid w:val="00195EDC"/>
    <w:rsid w:val="001A030F"/>
    <w:rsid w:val="001A0EEB"/>
    <w:rsid w:val="001A1A85"/>
    <w:rsid w:val="001A1CA6"/>
    <w:rsid w:val="001A3DC3"/>
    <w:rsid w:val="001B4AED"/>
    <w:rsid w:val="001B61BC"/>
    <w:rsid w:val="001B65B2"/>
    <w:rsid w:val="001B6823"/>
    <w:rsid w:val="001C2414"/>
    <w:rsid w:val="001C6D3B"/>
    <w:rsid w:val="001C7011"/>
    <w:rsid w:val="001D31AA"/>
    <w:rsid w:val="001D3560"/>
    <w:rsid w:val="001D3D13"/>
    <w:rsid w:val="001D7A5F"/>
    <w:rsid w:val="001D7F21"/>
    <w:rsid w:val="001F1AAF"/>
    <w:rsid w:val="001F2E2E"/>
    <w:rsid w:val="001F408A"/>
    <w:rsid w:val="001F73EF"/>
    <w:rsid w:val="002014B1"/>
    <w:rsid w:val="00214730"/>
    <w:rsid w:val="00216A34"/>
    <w:rsid w:val="002202A1"/>
    <w:rsid w:val="002418B2"/>
    <w:rsid w:val="002555B6"/>
    <w:rsid w:val="00261DE8"/>
    <w:rsid w:val="00270F7F"/>
    <w:rsid w:val="00273251"/>
    <w:rsid w:val="00285CE9"/>
    <w:rsid w:val="00291383"/>
    <w:rsid w:val="002925F3"/>
    <w:rsid w:val="00295679"/>
    <w:rsid w:val="00295B84"/>
    <w:rsid w:val="002A13BE"/>
    <w:rsid w:val="002B7CD6"/>
    <w:rsid w:val="002D1E66"/>
    <w:rsid w:val="002D2A6B"/>
    <w:rsid w:val="002D7E5A"/>
    <w:rsid w:val="002E0D4D"/>
    <w:rsid w:val="002E10AD"/>
    <w:rsid w:val="002E1B55"/>
    <w:rsid w:val="002E47D4"/>
    <w:rsid w:val="002E4EAF"/>
    <w:rsid w:val="002F2E6B"/>
    <w:rsid w:val="00307FAC"/>
    <w:rsid w:val="003232C5"/>
    <w:rsid w:val="00323A7B"/>
    <w:rsid w:val="0032427B"/>
    <w:rsid w:val="00326F7D"/>
    <w:rsid w:val="0033029D"/>
    <w:rsid w:val="00334795"/>
    <w:rsid w:val="00334F7F"/>
    <w:rsid w:val="00336CF3"/>
    <w:rsid w:val="00346DBE"/>
    <w:rsid w:val="003509D0"/>
    <w:rsid w:val="00351B17"/>
    <w:rsid w:val="00377F50"/>
    <w:rsid w:val="00381251"/>
    <w:rsid w:val="00384B8B"/>
    <w:rsid w:val="00397660"/>
    <w:rsid w:val="003A32DB"/>
    <w:rsid w:val="003A6D2F"/>
    <w:rsid w:val="003C5A3A"/>
    <w:rsid w:val="003C77C0"/>
    <w:rsid w:val="003C7AAC"/>
    <w:rsid w:val="003D0D2E"/>
    <w:rsid w:val="003D11E9"/>
    <w:rsid w:val="003D4DB0"/>
    <w:rsid w:val="003E12E4"/>
    <w:rsid w:val="003E15DD"/>
    <w:rsid w:val="003F5FCD"/>
    <w:rsid w:val="004037D2"/>
    <w:rsid w:val="004070CD"/>
    <w:rsid w:val="00422C42"/>
    <w:rsid w:val="004243F1"/>
    <w:rsid w:val="00425ED1"/>
    <w:rsid w:val="00431D69"/>
    <w:rsid w:val="00434DC2"/>
    <w:rsid w:val="00444D6A"/>
    <w:rsid w:val="004600FC"/>
    <w:rsid w:val="00476751"/>
    <w:rsid w:val="00476A38"/>
    <w:rsid w:val="004834A7"/>
    <w:rsid w:val="0048489A"/>
    <w:rsid w:val="004862AD"/>
    <w:rsid w:val="00490B2C"/>
    <w:rsid w:val="004948D0"/>
    <w:rsid w:val="00494C81"/>
    <w:rsid w:val="00497BC2"/>
    <w:rsid w:val="00497F95"/>
    <w:rsid w:val="004A44EC"/>
    <w:rsid w:val="004B2AA0"/>
    <w:rsid w:val="004C708A"/>
    <w:rsid w:val="004E1C1F"/>
    <w:rsid w:val="004E3064"/>
    <w:rsid w:val="004E53C7"/>
    <w:rsid w:val="004F556C"/>
    <w:rsid w:val="004F578A"/>
    <w:rsid w:val="004F7482"/>
    <w:rsid w:val="00501335"/>
    <w:rsid w:val="00516623"/>
    <w:rsid w:val="00522359"/>
    <w:rsid w:val="005344A1"/>
    <w:rsid w:val="005359F8"/>
    <w:rsid w:val="00547480"/>
    <w:rsid w:val="005537FD"/>
    <w:rsid w:val="00553C37"/>
    <w:rsid w:val="00562C10"/>
    <w:rsid w:val="00563B78"/>
    <w:rsid w:val="00566616"/>
    <w:rsid w:val="005672C4"/>
    <w:rsid w:val="005749D1"/>
    <w:rsid w:val="005772B0"/>
    <w:rsid w:val="005774E7"/>
    <w:rsid w:val="00580C4F"/>
    <w:rsid w:val="00582450"/>
    <w:rsid w:val="00583DB3"/>
    <w:rsid w:val="0058400C"/>
    <w:rsid w:val="00585136"/>
    <w:rsid w:val="00585FD5"/>
    <w:rsid w:val="005B65DA"/>
    <w:rsid w:val="005D335B"/>
    <w:rsid w:val="006019BC"/>
    <w:rsid w:val="00602074"/>
    <w:rsid w:val="00604FE2"/>
    <w:rsid w:val="00610228"/>
    <w:rsid w:val="00610B24"/>
    <w:rsid w:val="0061195A"/>
    <w:rsid w:val="00627F76"/>
    <w:rsid w:val="006316FC"/>
    <w:rsid w:val="00632128"/>
    <w:rsid w:val="00643FFE"/>
    <w:rsid w:val="006501DA"/>
    <w:rsid w:val="0065043F"/>
    <w:rsid w:val="00652287"/>
    <w:rsid w:val="00653D8C"/>
    <w:rsid w:val="00656202"/>
    <w:rsid w:val="0065704D"/>
    <w:rsid w:val="0067284A"/>
    <w:rsid w:val="00673DCC"/>
    <w:rsid w:val="00677712"/>
    <w:rsid w:val="0068146F"/>
    <w:rsid w:val="0068273D"/>
    <w:rsid w:val="00686BEC"/>
    <w:rsid w:val="00694103"/>
    <w:rsid w:val="00694815"/>
    <w:rsid w:val="00696392"/>
    <w:rsid w:val="006B36E0"/>
    <w:rsid w:val="006B57D6"/>
    <w:rsid w:val="006D4580"/>
    <w:rsid w:val="006E11F4"/>
    <w:rsid w:val="006E16AF"/>
    <w:rsid w:val="006E3CAE"/>
    <w:rsid w:val="006F7583"/>
    <w:rsid w:val="00724AE1"/>
    <w:rsid w:val="00724E07"/>
    <w:rsid w:val="00725EC9"/>
    <w:rsid w:val="00732EBD"/>
    <w:rsid w:val="0073722F"/>
    <w:rsid w:val="007379C6"/>
    <w:rsid w:val="007423C1"/>
    <w:rsid w:val="00742988"/>
    <w:rsid w:val="007462B2"/>
    <w:rsid w:val="007501C0"/>
    <w:rsid w:val="007544AF"/>
    <w:rsid w:val="00762FC2"/>
    <w:rsid w:val="007659F5"/>
    <w:rsid w:val="00770E2D"/>
    <w:rsid w:val="00780825"/>
    <w:rsid w:val="00782AA3"/>
    <w:rsid w:val="00784CB7"/>
    <w:rsid w:val="007855DE"/>
    <w:rsid w:val="00786044"/>
    <w:rsid w:val="00791B9B"/>
    <w:rsid w:val="007928DC"/>
    <w:rsid w:val="00796B1F"/>
    <w:rsid w:val="007B2E07"/>
    <w:rsid w:val="007B4F3C"/>
    <w:rsid w:val="007B529A"/>
    <w:rsid w:val="007B5D94"/>
    <w:rsid w:val="007C160C"/>
    <w:rsid w:val="007C1685"/>
    <w:rsid w:val="007C57D5"/>
    <w:rsid w:val="007C58A6"/>
    <w:rsid w:val="007C6253"/>
    <w:rsid w:val="007C632E"/>
    <w:rsid w:val="007D2ACC"/>
    <w:rsid w:val="007E793A"/>
    <w:rsid w:val="007F014E"/>
    <w:rsid w:val="007F5CCF"/>
    <w:rsid w:val="00805AEA"/>
    <w:rsid w:val="00806AAA"/>
    <w:rsid w:val="00814E67"/>
    <w:rsid w:val="00820E99"/>
    <w:rsid w:val="00826DC4"/>
    <w:rsid w:val="0083290C"/>
    <w:rsid w:val="00845527"/>
    <w:rsid w:val="00845C59"/>
    <w:rsid w:val="00867818"/>
    <w:rsid w:val="00871574"/>
    <w:rsid w:val="008764E4"/>
    <w:rsid w:val="00881CA8"/>
    <w:rsid w:val="008824CB"/>
    <w:rsid w:val="008902BC"/>
    <w:rsid w:val="00892B85"/>
    <w:rsid w:val="008A7496"/>
    <w:rsid w:val="008A7577"/>
    <w:rsid w:val="008A7D29"/>
    <w:rsid w:val="008B36A4"/>
    <w:rsid w:val="008B372E"/>
    <w:rsid w:val="008B3F9A"/>
    <w:rsid w:val="008B52AF"/>
    <w:rsid w:val="008C1219"/>
    <w:rsid w:val="008C5564"/>
    <w:rsid w:val="008D1CAC"/>
    <w:rsid w:val="008E7D6C"/>
    <w:rsid w:val="008F1CF9"/>
    <w:rsid w:val="008F537A"/>
    <w:rsid w:val="00901C3F"/>
    <w:rsid w:val="00903ECC"/>
    <w:rsid w:val="00905D49"/>
    <w:rsid w:val="009118B9"/>
    <w:rsid w:val="009125EE"/>
    <w:rsid w:val="009201E5"/>
    <w:rsid w:val="00921FDF"/>
    <w:rsid w:val="00925A06"/>
    <w:rsid w:val="00927AF9"/>
    <w:rsid w:val="00932D05"/>
    <w:rsid w:val="009408D2"/>
    <w:rsid w:val="00943B44"/>
    <w:rsid w:val="009502AE"/>
    <w:rsid w:val="00955165"/>
    <w:rsid w:val="009563E8"/>
    <w:rsid w:val="0096257E"/>
    <w:rsid w:val="009625C7"/>
    <w:rsid w:val="00967160"/>
    <w:rsid w:val="00975420"/>
    <w:rsid w:val="0097688B"/>
    <w:rsid w:val="0098230A"/>
    <w:rsid w:val="00993C4A"/>
    <w:rsid w:val="00997068"/>
    <w:rsid w:val="009A1E05"/>
    <w:rsid w:val="009A7B4C"/>
    <w:rsid w:val="009B1478"/>
    <w:rsid w:val="009B2BFB"/>
    <w:rsid w:val="009B55A9"/>
    <w:rsid w:val="009B5FF5"/>
    <w:rsid w:val="009C1B46"/>
    <w:rsid w:val="009C1DD1"/>
    <w:rsid w:val="009C2BC6"/>
    <w:rsid w:val="009C2FB5"/>
    <w:rsid w:val="009C5F6B"/>
    <w:rsid w:val="009E1885"/>
    <w:rsid w:val="009E2283"/>
    <w:rsid w:val="009E4521"/>
    <w:rsid w:val="009F2ABF"/>
    <w:rsid w:val="009F380D"/>
    <w:rsid w:val="00A03AD6"/>
    <w:rsid w:val="00A05020"/>
    <w:rsid w:val="00A055BB"/>
    <w:rsid w:val="00A07CD8"/>
    <w:rsid w:val="00A1406C"/>
    <w:rsid w:val="00A23A29"/>
    <w:rsid w:val="00A244A0"/>
    <w:rsid w:val="00A37FC5"/>
    <w:rsid w:val="00A43478"/>
    <w:rsid w:val="00A4433F"/>
    <w:rsid w:val="00A5302B"/>
    <w:rsid w:val="00A625DD"/>
    <w:rsid w:val="00A62B62"/>
    <w:rsid w:val="00A75D98"/>
    <w:rsid w:val="00A810D9"/>
    <w:rsid w:val="00A81A37"/>
    <w:rsid w:val="00A83714"/>
    <w:rsid w:val="00A85E8F"/>
    <w:rsid w:val="00A860B3"/>
    <w:rsid w:val="00A96611"/>
    <w:rsid w:val="00AA41BF"/>
    <w:rsid w:val="00AA4FA7"/>
    <w:rsid w:val="00AC4B79"/>
    <w:rsid w:val="00AD240F"/>
    <w:rsid w:val="00AD56F3"/>
    <w:rsid w:val="00AD76FB"/>
    <w:rsid w:val="00AF195E"/>
    <w:rsid w:val="00AF3FCB"/>
    <w:rsid w:val="00AF44C6"/>
    <w:rsid w:val="00AF49A2"/>
    <w:rsid w:val="00B00C40"/>
    <w:rsid w:val="00B03D0F"/>
    <w:rsid w:val="00B10ABD"/>
    <w:rsid w:val="00B15BEC"/>
    <w:rsid w:val="00B1605D"/>
    <w:rsid w:val="00B16876"/>
    <w:rsid w:val="00B20A06"/>
    <w:rsid w:val="00B210BB"/>
    <w:rsid w:val="00B25EEF"/>
    <w:rsid w:val="00B327D7"/>
    <w:rsid w:val="00B359B2"/>
    <w:rsid w:val="00B375B7"/>
    <w:rsid w:val="00B4229D"/>
    <w:rsid w:val="00B4348F"/>
    <w:rsid w:val="00B524BB"/>
    <w:rsid w:val="00B52CFA"/>
    <w:rsid w:val="00B637A4"/>
    <w:rsid w:val="00B67D22"/>
    <w:rsid w:val="00B75654"/>
    <w:rsid w:val="00B75AF4"/>
    <w:rsid w:val="00B75FA2"/>
    <w:rsid w:val="00B7644E"/>
    <w:rsid w:val="00B814EC"/>
    <w:rsid w:val="00B81DE1"/>
    <w:rsid w:val="00B9036C"/>
    <w:rsid w:val="00BA21B4"/>
    <w:rsid w:val="00BA4E2E"/>
    <w:rsid w:val="00BB30C4"/>
    <w:rsid w:val="00BB3126"/>
    <w:rsid w:val="00BC1501"/>
    <w:rsid w:val="00BD6460"/>
    <w:rsid w:val="00BE1845"/>
    <w:rsid w:val="00BE3462"/>
    <w:rsid w:val="00C0045B"/>
    <w:rsid w:val="00C15DD7"/>
    <w:rsid w:val="00C16FD8"/>
    <w:rsid w:val="00C21C3B"/>
    <w:rsid w:val="00C30DCA"/>
    <w:rsid w:val="00C32192"/>
    <w:rsid w:val="00C35B05"/>
    <w:rsid w:val="00C43080"/>
    <w:rsid w:val="00C4385B"/>
    <w:rsid w:val="00C44979"/>
    <w:rsid w:val="00C45602"/>
    <w:rsid w:val="00C73E1F"/>
    <w:rsid w:val="00C9412D"/>
    <w:rsid w:val="00C95F23"/>
    <w:rsid w:val="00C97DD9"/>
    <w:rsid w:val="00CA119C"/>
    <w:rsid w:val="00CA37C7"/>
    <w:rsid w:val="00CA4EE5"/>
    <w:rsid w:val="00CB42A9"/>
    <w:rsid w:val="00CB68EB"/>
    <w:rsid w:val="00CC5FD5"/>
    <w:rsid w:val="00CC6F6C"/>
    <w:rsid w:val="00CD6444"/>
    <w:rsid w:val="00CE14E4"/>
    <w:rsid w:val="00CE1BCE"/>
    <w:rsid w:val="00CE4FFD"/>
    <w:rsid w:val="00CE617F"/>
    <w:rsid w:val="00D122D1"/>
    <w:rsid w:val="00D17EEB"/>
    <w:rsid w:val="00D21829"/>
    <w:rsid w:val="00D545E9"/>
    <w:rsid w:val="00D72BD4"/>
    <w:rsid w:val="00D84F5B"/>
    <w:rsid w:val="00D8518A"/>
    <w:rsid w:val="00D86684"/>
    <w:rsid w:val="00D974D6"/>
    <w:rsid w:val="00DA1DD0"/>
    <w:rsid w:val="00DA1EB0"/>
    <w:rsid w:val="00DA54F1"/>
    <w:rsid w:val="00DA5E55"/>
    <w:rsid w:val="00DB5C09"/>
    <w:rsid w:val="00DD5942"/>
    <w:rsid w:val="00DE0295"/>
    <w:rsid w:val="00DE1FA1"/>
    <w:rsid w:val="00DF3215"/>
    <w:rsid w:val="00DF4CF2"/>
    <w:rsid w:val="00E06FAB"/>
    <w:rsid w:val="00E0779E"/>
    <w:rsid w:val="00E145F5"/>
    <w:rsid w:val="00E14CF5"/>
    <w:rsid w:val="00E14DBF"/>
    <w:rsid w:val="00E20B7D"/>
    <w:rsid w:val="00E227A9"/>
    <w:rsid w:val="00E25681"/>
    <w:rsid w:val="00E262CF"/>
    <w:rsid w:val="00E276A0"/>
    <w:rsid w:val="00E27F90"/>
    <w:rsid w:val="00E40114"/>
    <w:rsid w:val="00E444F6"/>
    <w:rsid w:val="00E46A45"/>
    <w:rsid w:val="00E51E40"/>
    <w:rsid w:val="00E52DFB"/>
    <w:rsid w:val="00E5546E"/>
    <w:rsid w:val="00E62049"/>
    <w:rsid w:val="00E67FBB"/>
    <w:rsid w:val="00E70D0D"/>
    <w:rsid w:val="00E75062"/>
    <w:rsid w:val="00E81588"/>
    <w:rsid w:val="00E9189D"/>
    <w:rsid w:val="00E928FE"/>
    <w:rsid w:val="00E94D4C"/>
    <w:rsid w:val="00EC3457"/>
    <w:rsid w:val="00ED3FDC"/>
    <w:rsid w:val="00ED685E"/>
    <w:rsid w:val="00EE3FFD"/>
    <w:rsid w:val="00F032FC"/>
    <w:rsid w:val="00F04F8D"/>
    <w:rsid w:val="00F05DB2"/>
    <w:rsid w:val="00F2181C"/>
    <w:rsid w:val="00F26D59"/>
    <w:rsid w:val="00F31BDE"/>
    <w:rsid w:val="00F372B6"/>
    <w:rsid w:val="00F4279A"/>
    <w:rsid w:val="00F70724"/>
    <w:rsid w:val="00F92823"/>
    <w:rsid w:val="00F9360F"/>
    <w:rsid w:val="00F93C76"/>
    <w:rsid w:val="00FA001F"/>
    <w:rsid w:val="00FA1B37"/>
    <w:rsid w:val="00FA50E0"/>
    <w:rsid w:val="00FA576A"/>
    <w:rsid w:val="00FB10AA"/>
    <w:rsid w:val="00FB12E4"/>
    <w:rsid w:val="00FB42C1"/>
    <w:rsid w:val="00FC077F"/>
    <w:rsid w:val="00FC084B"/>
    <w:rsid w:val="00FC1977"/>
    <w:rsid w:val="00FC1EAC"/>
    <w:rsid w:val="00FC5354"/>
    <w:rsid w:val="00FD48E5"/>
    <w:rsid w:val="00FD4B86"/>
    <w:rsid w:val="00FD5C00"/>
    <w:rsid w:val="00FE028C"/>
    <w:rsid w:val="00FE73DD"/>
    <w:rsid w:val="5003B897"/>
    <w:rsid w:val="500E2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91B788"/>
  <w15:docId w15:val="{0207EBE1-5FE8-48CD-9319-35D94A91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FDC"/>
    <w:rPr>
      <w:sz w:val="24"/>
      <w:szCs w:val="24"/>
      <w:lang w:eastAsia="en-US"/>
    </w:rPr>
  </w:style>
  <w:style w:type="paragraph" w:styleId="Heading1">
    <w:name w:val="heading 1"/>
    <w:basedOn w:val="Normal"/>
    <w:next w:val="Normal"/>
    <w:link w:val="Heading1Char"/>
    <w:uiPriority w:val="99"/>
    <w:qFormat/>
    <w:rsid w:val="00ED3FDC"/>
    <w:pPr>
      <w:keepNext/>
      <w:outlineLvl w:val="0"/>
    </w:pPr>
    <w:rPr>
      <w:b/>
      <w:bCs/>
    </w:rPr>
  </w:style>
  <w:style w:type="paragraph" w:styleId="Heading2">
    <w:name w:val="heading 2"/>
    <w:basedOn w:val="Normal"/>
    <w:next w:val="Normal"/>
    <w:link w:val="Heading2Char"/>
    <w:semiHidden/>
    <w:unhideWhenUsed/>
    <w:qFormat/>
    <w:locked/>
    <w:rsid w:val="00673D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0B07"/>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EA0B07"/>
    <w:rPr>
      <w:rFonts w:ascii="Cambria" w:eastAsia="Times New Roman" w:hAnsi="Cambria" w:cs="Times New Roman"/>
      <w:b/>
      <w:bCs/>
      <w:sz w:val="26"/>
      <w:szCs w:val="26"/>
      <w:lang w:eastAsia="en-US"/>
    </w:rPr>
  </w:style>
  <w:style w:type="paragraph" w:styleId="BalloonText">
    <w:name w:val="Balloon Text"/>
    <w:basedOn w:val="Normal"/>
    <w:link w:val="BalloonTextChar"/>
    <w:uiPriority w:val="99"/>
    <w:semiHidden/>
    <w:rsid w:val="00B524BB"/>
    <w:rPr>
      <w:rFonts w:ascii="Tahoma" w:hAnsi="Tahoma" w:cs="Tahoma"/>
      <w:sz w:val="16"/>
      <w:szCs w:val="16"/>
    </w:rPr>
  </w:style>
  <w:style w:type="character" w:customStyle="1" w:styleId="BalloonTextChar">
    <w:name w:val="Balloon Text Char"/>
    <w:link w:val="BalloonText"/>
    <w:uiPriority w:val="99"/>
    <w:semiHidden/>
    <w:rsid w:val="00EA0B07"/>
    <w:rPr>
      <w:sz w:val="0"/>
      <w:szCs w:val="0"/>
      <w:lang w:eastAsia="en-US"/>
    </w:rPr>
  </w:style>
  <w:style w:type="character" w:styleId="Hyperlink">
    <w:name w:val="Hyperlink"/>
    <w:uiPriority w:val="99"/>
    <w:rsid w:val="000A3CD2"/>
    <w:rPr>
      <w:rFonts w:cs="Times New Roman"/>
      <w:color w:val="0000FF"/>
      <w:u w:val="single"/>
    </w:rPr>
  </w:style>
  <w:style w:type="character" w:styleId="FollowedHyperlink">
    <w:name w:val="FollowedHyperlink"/>
    <w:uiPriority w:val="99"/>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uiPriority w:val="99"/>
    <w:rsid w:val="00CE1BCE"/>
    <w:pPr>
      <w:tabs>
        <w:tab w:val="center" w:pos="4153"/>
        <w:tab w:val="right" w:pos="8306"/>
      </w:tabs>
    </w:pPr>
  </w:style>
  <w:style w:type="character" w:customStyle="1" w:styleId="HeaderChar">
    <w:name w:val="Header Char"/>
    <w:link w:val="Header"/>
    <w:uiPriority w:val="99"/>
    <w:locked/>
    <w:rsid w:val="00A810D9"/>
    <w:rPr>
      <w:sz w:val="24"/>
      <w:lang w:eastAsia="en-US"/>
    </w:rPr>
  </w:style>
  <w:style w:type="paragraph" w:styleId="Footer">
    <w:name w:val="footer"/>
    <w:basedOn w:val="Normal"/>
    <w:link w:val="FooterChar"/>
    <w:uiPriority w:val="99"/>
    <w:rsid w:val="00CE1BCE"/>
    <w:pPr>
      <w:tabs>
        <w:tab w:val="center" w:pos="4153"/>
        <w:tab w:val="right" w:pos="8306"/>
      </w:tabs>
    </w:pPr>
  </w:style>
  <w:style w:type="character" w:customStyle="1" w:styleId="FooterChar">
    <w:name w:val="Footer Char"/>
    <w:link w:val="Footer"/>
    <w:uiPriority w:val="99"/>
    <w:locked/>
    <w:rsid w:val="00060939"/>
    <w:rPr>
      <w:sz w:val="24"/>
      <w:lang w:eastAsia="en-US"/>
    </w:rPr>
  </w:style>
  <w:style w:type="character" w:styleId="Emphasis">
    <w:name w:val="Emphasis"/>
    <w:uiPriority w:val="99"/>
    <w:qFormat/>
    <w:rsid w:val="00B16876"/>
    <w:rPr>
      <w:rFonts w:cs="Times New Roman"/>
      <w:i/>
    </w:rPr>
  </w:style>
  <w:style w:type="paragraph" w:styleId="ListParagraph">
    <w:name w:val="List Paragraph"/>
    <w:basedOn w:val="Normal"/>
    <w:uiPriority w:val="34"/>
    <w:qFormat/>
    <w:rsid w:val="00FC084B"/>
    <w:pPr>
      <w:spacing w:after="200" w:line="276" w:lineRule="auto"/>
      <w:ind w:left="720"/>
      <w:contextualSpacing/>
    </w:pPr>
    <w:rPr>
      <w:rFonts w:ascii="Calibri" w:hAnsi="Calibri"/>
      <w:sz w:val="22"/>
      <w:szCs w:val="22"/>
    </w:rPr>
  </w:style>
  <w:style w:type="character" w:styleId="Strong">
    <w:name w:val="Strong"/>
    <w:uiPriority w:val="99"/>
    <w:qFormat/>
    <w:locked/>
    <w:rsid w:val="00FC084B"/>
    <w:rPr>
      <w:rFonts w:cs="Times New Roman"/>
      <w:b/>
      <w:bCs/>
    </w:rPr>
  </w:style>
  <w:style w:type="table" w:styleId="TableGrid">
    <w:name w:val="Table Grid"/>
    <w:basedOn w:val="TableNormal"/>
    <w:rsid w:val="0067771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4834A7"/>
    <w:rPr>
      <w:rFonts w:ascii="Calibri" w:eastAsia="Calibri" w:hAnsi="Calibri" w:cs="Calibri"/>
      <w:sz w:val="22"/>
      <w:szCs w:val="22"/>
    </w:rPr>
  </w:style>
  <w:style w:type="character" w:customStyle="1" w:styleId="title7">
    <w:name w:val="title7"/>
    <w:rsid w:val="002555B6"/>
    <w:rPr>
      <w:b w:val="0"/>
      <w:bCs w:val="0"/>
      <w:i w:val="0"/>
      <w:iCs w:val="0"/>
      <w:strike w:val="0"/>
      <w:dstrike w:val="0"/>
      <w:color w:val="D92E10"/>
      <w:sz w:val="26"/>
      <w:szCs w:val="26"/>
      <w:u w:val="none"/>
      <w:effect w:val="none"/>
    </w:rPr>
  </w:style>
  <w:style w:type="paragraph" w:customStyle="1" w:styleId="default">
    <w:name w:val="default"/>
    <w:basedOn w:val="Normal"/>
    <w:rsid w:val="002555B6"/>
    <w:rPr>
      <w:lang w:eastAsia="en-GB"/>
    </w:rPr>
  </w:style>
  <w:style w:type="table" w:customStyle="1" w:styleId="TableGrid1">
    <w:name w:val="Table Grid1"/>
    <w:basedOn w:val="TableNormal"/>
    <w:next w:val="TableGrid"/>
    <w:uiPriority w:val="59"/>
    <w:rsid w:val="006827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975420"/>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007EA3"/>
    <w:rPr>
      <w:color w:val="605E5C"/>
      <w:shd w:val="clear" w:color="auto" w:fill="E1DFDD"/>
    </w:rPr>
  </w:style>
  <w:style w:type="character" w:styleId="UnresolvedMention">
    <w:name w:val="Unresolved Mention"/>
    <w:basedOn w:val="DefaultParagraphFont"/>
    <w:uiPriority w:val="99"/>
    <w:semiHidden/>
    <w:unhideWhenUsed/>
    <w:rsid w:val="00490B2C"/>
    <w:rPr>
      <w:color w:val="605E5C"/>
      <w:shd w:val="clear" w:color="auto" w:fill="E1DFDD"/>
    </w:rPr>
  </w:style>
  <w:style w:type="character" w:customStyle="1" w:styleId="Heading2Char">
    <w:name w:val="Heading 2 Char"/>
    <w:basedOn w:val="DefaultParagraphFont"/>
    <w:link w:val="Heading2"/>
    <w:semiHidden/>
    <w:rsid w:val="00673DCC"/>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4272">
      <w:bodyDiv w:val="1"/>
      <w:marLeft w:val="0"/>
      <w:marRight w:val="0"/>
      <w:marTop w:val="0"/>
      <w:marBottom w:val="0"/>
      <w:divBdr>
        <w:top w:val="none" w:sz="0" w:space="0" w:color="auto"/>
        <w:left w:val="none" w:sz="0" w:space="0" w:color="auto"/>
        <w:bottom w:val="none" w:sz="0" w:space="0" w:color="auto"/>
        <w:right w:val="none" w:sz="0" w:space="0" w:color="auto"/>
      </w:divBdr>
      <w:divsChild>
        <w:div w:id="904923133">
          <w:marLeft w:val="0"/>
          <w:marRight w:val="0"/>
          <w:marTop w:val="0"/>
          <w:marBottom w:val="0"/>
          <w:divBdr>
            <w:top w:val="none" w:sz="0" w:space="0" w:color="auto"/>
            <w:left w:val="none" w:sz="0" w:space="0" w:color="auto"/>
            <w:bottom w:val="none" w:sz="0" w:space="0" w:color="auto"/>
            <w:right w:val="none" w:sz="0" w:space="0" w:color="auto"/>
          </w:divBdr>
          <w:divsChild>
            <w:div w:id="794375476">
              <w:marLeft w:val="0"/>
              <w:marRight w:val="0"/>
              <w:marTop w:val="0"/>
              <w:marBottom w:val="0"/>
              <w:divBdr>
                <w:top w:val="none" w:sz="0" w:space="0" w:color="auto"/>
                <w:left w:val="none" w:sz="0" w:space="0" w:color="auto"/>
                <w:bottom w:val="none" w:sz="0" w:space="0" w:color="auto"/>
                <w:right w:val="none" w:sz="0" w:space="0" w:color="auto"/>
              </w:divBdr>
            </w:div>
            <w:div w:id="10234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794">
      <w:bodyDiv w:val="1"/>
      <w:marLeft w:val="0"/>
      <w:marRight w:val="0"/>
      <w:marTop w:val="0"/>
      <w:marBottom w:val="0"/>
      <w:divBdr>
        <w:top w:val="none" w:sz="0" w:space="0" w:color="auto"/>
        <w:left w:val="none" w:sz="0" w:space="0" w:color="auto"/>
        <w:bottom w:val="none" w:sz="0" w:space="0" w:color="auto"/>
        <w:right w:val="none" w:sz="0" w:space="0" w:color="auto"/>
      </w:divBdr>
    </w:div>
    <w:div w:id="21177735">
      <w:bodyDiv w:val="1"/>
      <w:marLeft w:val="0"/>
      <w:marRight w:val="0"/>
      <w:marTop w:val="0"/>
      <w:marBottom w:val="0"/>
      <w:divBdr>
        <w:top w:val="none" w:sz="0" w:space="0" w:color="auto"/>
        <w:left w:val="none" w:sz="0" w:space="0" w:color="auto"/>
        <w:bottom w:val="none" w:sz="0" w:space="0" w:color="auto"/>
        <w:right w:val="none" w:sz="0" w:space="0" w:color="auto"/>
      </w:divBdr>
    </w:div>
    <w:div w:id="50155621">
      <w:bodyDiv w:val="1"/>
      <w:marLeft w:val="0"/>
      <w:marRight w:val="0"/>
      <w:marTop w:val="0"/>
      <w:marBottom w:val="0"/>
      <w:divBdr>
        <w:top w:val="none" w:sz="0" w:space="0" w:color="auto"/>
        <w:left w:val="none" w:sz="0" w:space="0" w:color="auto"/>
        <w:bottom w:val="none" w:sz="0" w:space="0" w:color="auto"/>
        <w:right w:val="none" w:sz="0" w:space="0" w:color="auto"/>
      </w:divBdr>
    </w:div>
    <w:div w:id="392435957">
      <w:bodyDiv w:val="1"/>
      <w:marLeft w:val="0"/>
      <w:marRight w:val="0"/>
      <w:marTop w:val="0"/>
      <w:marBottom w:val="0"/>
      <w:divBdr>
        <w:top w:val="none" w:sz="0" w:space="0" w:color="auto"/>
        <w:left w:val="none" w:sz="0" w:space="0" w:color="auto"/>
        <w:bottom w:val="none" w:sz="0" w:space="0" w:color="auto"/>
        <w:right w:val="none" w:sz="0" w:space="0" w:color="auto"/>
      </w:divBdr>
    </w:div>
    <w:div w:id="420686739">
      <w:bodyDiv w:val="1"/>
      <w:marLeft w:val="0"/>
      <w:marRight w:val="0"/>
      <w:marTop w:val="0"/>
      <w:marBottom w:val="0"/>
      <w:divBdr>
        <w:top w:val="none" w:sz="0" w:space="0" w:color="auto"/>
        <w:left w:val="none" w:sz="0" w:space="0" w:color="auto"/>
        <w:bottom w:val="none" w:sz="0" w:space="0" w:color="auto"/>
        <w:right w:val="none" w:sz="0" w:space="0" w:color="auto"/>
      </w:divBdr>
    </w:div>
    <w:div w:id="546142136">
      <w:bodyDiv w:val="1"/>
      <w:marLeft w:val="0"/>
      <w:marRight w:val="0"/>
      <w:marTop w:val="0"/>
      <w:marBottom w:val="0"/>
      <w:divBdr>
        <w:top w:val="none" w:sz="0" w:space="0" w:color="auto"/>
        <w:left w:val="none" w:sz="0" w:space="0" w:color="auto"/>
        <w:bottom w:val="none" w:sz="0" w:space="0" w:color="auto"/>
        <w:right w:val="none" w:sz="0" w:space="0" w:color="auto"/>
      </w:divBdr>
    </w:div>
    <w:div w:id="573777446">
      <w:bodyDiv w:val="1"/>
      <w:marLeft w:val="0"/>
      <w:marRight w:val="0"/>
      <w:marTop w:val="0"/>
      <w:marBottom w:val="0"/>
      <w:divBdr>
        <w:top w:val="none" w:sz="0" w:space="0" w:color="auto"/>
        <w:left w:val="none" w:sz="0" w:space="0" w:color="auto"/>
        <w:bottom w:val="none" w:sz="0" w:space="0" w:color="auto"/>
        <w:right w:val="none" w:sz="0" w:space="0" w:color="auto"/>
      </w:divBdr>
    </w:div>
    <w:div w:id="588122905">
      <w:bodyDiv w:val="1"/>
      <w:marLeft w:val="0"/>
      <w:marRight w:val="0"/>
      <w:marTop w:val="0"/>
      <w:marBottom w:val="0"/>
      <w:divBdr>
        <w:top w:val="none" w:sz="0" w:space="0" w:color="auto"/>
        <w:left w:val="none" w:sz="0" w:space="0" w:color="auto"/>
        <w:bottom w:val="none" w:sz="0" w:space="0" w:color="auto"/>
        <w:right w:val="none" w:sz="0" w:space="0" w:color="auto"/>
      </w:divBdr>
    </w:div>
    <w:div w:id="798493441">
      <w:bodyDiv w:val="1"/>
      <w:marLeft w:val="0"/>
      <w:marRight w:val="0"/>
      <w:marTop w:val="0"/>
      <w:marBottom w:val="0"/>
      <w:divBdr>
        <w:top w:val="none" w:sz="0" w:space="0" w:color="auto"/>
        <w:left w:val="none" w:sz="0" w:space="0" w:color="auto"/>
        <w:bottom w:val="none" w:sz="0" w:space="0" w:color="auto"/>
        <w:right w:val="none" w:sz="0" w:space="0" w:color="auto"/>
      </w:divBdr>
    </w:div>
    <w:div w:id="899250477">
      <w:bodyDiv w:val="1"/>
      <w:marLeft w:val="0"/>
      <w:marRight w:val="0"/>
      <w:marTop w:val="0"/>
      <w:marBottom w:val="0"/>
      <w:divBdr>
        <w:top w:val="none" w:sz="0" w:space="0" w:color="auto"/>
        <w:left w:val="none" w:sz="0" w:space="0" w:color="auto"/>
        <w:bottom w:val="none" w:sz="0" w:space="0" w:color="auto"/>
        <w:right w:val="none" w:sz="0" w:space="0" w:color="auto"/>
      </w:divBdr>
    </w:div>
    <w:div w:id="1028676927">
      <w:bodyDiv w:val="1"/>
      <w:marLeft w:val="0"/>
      <w:marRight w:val="0"/>
      <w:marTop w:val="0"/>
      <w:marBottom w:val="0"/>
      <w:divBdr>
        <w:top w:val="none" w:sz="0" w:space="0" w:color="auto"/>
        <w:left w:val="none" w:sz="0" w:space="0" w:color="auto"/>
        <w:bottom w:val="none" w:sz="0" w:space="0" w:color="auto"/>
        <w:right w:val="none" w:sz="0" w:space="0" w:color="auto"/>
      </w:divBdr>
    </w:div>
    <w:div w:id="1040401395">
      <w:bodyDiv w:val="1"/>
      <w:marLeft w:val="0"/>
      <w:marRight w:val="0"/>
      <w:marTop w:val="0"/>
      <w:marBottom w:val="0"/>
      <w:divBdr>
        <w:top w:val="none" w:sz="0" w:space="0" w:color="auto"/>
        <w:left w:val="none" w:sz="0" w:space="0" w:color="auto"/>
        <w:bottom w:val="none" w:sz="0" w:space="0" w:color="auto"/>
        <w:right w:val="none" w:sz="0" w:space="0" w:color="auto"/>
      </w:divBdr>
    </w:div>
    <w:div w:id="1049375478">
      <w:bodyDiv w:val="1"/>
      <w:marLeft w:val="0"/>
      <w:marRight w:val="0"/>
      <w:marTop w:val="0"/>
      <w:marBottom w:val="0"/>
      <w:divBdr>
        <w:top w:val="none" w:sz="0" w:space="0" w:color="auto"/>
        <w:left w:val="none" w:sz="0" w:space="0" w:color="auto"/>
        <w:bottom w:val="none" w:sz="0" w:space="0" w:color="auto"/>
        <w:right w:val="none" w:sz="0" w:space="0" w:color="auto"/>
      </w:divBdr>
    </w:div>
    <w:div w:id="1060322956">
      <w:bodyDiv w:val="1"/>
      <w:marLeft w:val="0"/>
      <w:marRight w:val="0"/>
      <w:marTop w:val="0"/>
      <w:marBottom w:val="0"/>
      <w:divBdr>
        <w:top w:val="none" w:sz="0" w:space="0" w:color="auto"/>
        <w:left w:val="none" w:sz="0" w:space="0" w:color="auto"/>
        <w:bottom w:val="none" w:sz="0" w:space="0" w:color="auto"/>
        <w:right w:val="none" w:sz="0" w:space="0" w:color="auto"/>
      </w:divBdr>
    </w:div>
    <w:div w:id="1102795641">
      <w:bodyDiv w:val="1"/>
      <w:marLeft w:val="0"/>
      <w:marRight w:val="0"/>
      <w:marTop w:val="0"/>
      <w:marBottom w:val="0"/>
      <w:divBdr>
        <w:top w:val="none" w:sz="0" w:space="0" w:color="auto"/>
        <w:left w:val="none" w:sz="0" w:space="0" w:color="auto"/>
        <w:bottom w:val="none" w:sz="0" w:space="0" w:color="auto"/>
        <w:right w:val="none" w:sz="0" w:space="0" w:color="auto"/>
      </w:divBdr>
    </w:div>
    <w:div w:id="1124470713">
      <w:bodyDiv w:val="1"/>
      <w:marLeft w:val="0"/>
      <w:marRight w:val="0"/>
      <w:marTop w:val="0"/>
      <w:marBottom w:val="0"/>
      <w:divBdr>
        <w:top w:val="none" w:sz="0" w:space="0" w:color="auto"/>
        <w:left w:val="none" w:sz="0" w:space="0" w:color="auto"/>
        <w:bottom w:val="none" w:sz="0" w:space="0" w:color="auto"/>
        <w:right w:val="none" w:sz="0" w:space="0" w:color="auto"/>
      </w:divBdr>
    </w:div>
    <w:div w:id="1146820874">
      <w:marLeft w:val="0"/>
      <w:marRight w:val="0"/>
      <w:marTop w:val="0"/>
      <w:marBottom w:val="0"/>
      <w:divBdr>
        <w:top w:val="none" w:sz="0" w:space="0" w:color="auto"/>
        <w:left w:val="none" w:sz="0" w:space="0" w:color="auto"/>
        <w:bottom w:val="none" w:sz="0" w:space="0" w:color="auto"/>
        <w:right w:val="none" w:sz="0" w:space="0" w:color="auto"/>
      </w:divBdr>
    </w:div>
    <w:div w:id="1146820875">
      <w:marLeft w:val="0"/>
      <w:marRight w:val="0"/>
      <w:marTop w:val="0"/>
      <w:marBottom w:val="0"/>
      <w:divBdr>
        <w:top w:val="none" w:sz="0" w:space="0" w:color="auto"/>
        <w:left w:val="none" w:sz="0" w:space="0" w:color="auto"/>
        <w:bottom w:val="none" w:sz="0" w:space="0" w:color="auto"/>
        <w:right w:val="none" w:sz="0" w:space="0" w:color="auto"/>
      </w:divBdr>
    </w:div>
    <w:div w:id="1146820876">
      <w:marLeft w:val="0"/>
      <w:marRight w:val="0"/>
      <w:marTop w:val="0"/>
      <w:marBottom w:val="0"/>
      <w:divBdr>
        <w:top w:val="none" w:sz="0" w:space="0" w:color="auto"/>
        <w:left w:val="none" w:sz="0" w:space="0" w:color="auto"/>
        <w:bottom w:val="none" w:sz="0" w:space="0" w:color="auto"/>
        <w:right w:val="none" w:sz="0" w:space="0" w:color="auto"/>
      </w:divBdr>
    </w:div>
    <w:div w:id="1146820877">
      <w:marLeft w:val="0"/>
      <w:marRight w:val="0"/>
      <w:marTop w:val="0"/>
      <w:marBottom w:val="0"/>
      <w:divBdr>
        <w:top w:val="none" w:sz="0" w:space="0" w:color="auto"/>
        <w:left w:val="none" w:sz="0" w:space="0" w:color="auto"/>
        <w:bottom w:val="none" w:sz="0" w:space="0" w:color="auto"/>
        <w:right w:val="none" w:sz="0" w:space="0" w:color="auto"/>
      </w:divBdr>
    </w:div>
    <w:div w:id="1146820878">
      <w:marLeft w:val="0"/>
      <w:marRight w:val="0"/>
      <w:marTop w:val="0"/>
      <w:marBottom w:val="0"/>
      <w:divBdr>
        <w:top w:val="none" w:sz="0" w:space="0" w:color="auto"/>
        <w:left w:val="none" w:sz="0" w:space="0" w:color="auto"/>
        <w:bottom w:val="none" w:sz="0" w:space="0" w:color="auto"/>
        <w:right w:val="none" w:sz="0" w:space="0" w:color="auto"/>
      </w:divBdr>
    </w:div>
    <w:div w:id="1146820879">
      <w:marLeft w:val="0"/>
      <w:marRight w:val="0"/>
      <w:marTop w:val="0"/>
      <w:marBottom w:val="0"/>
      <w:divBdr>
        <w:top w:val="none" w:sz="0" w:space="0" w:color="auto"/>
        <w:left w:val="none" w:sz="0" w:space="0" w:color="auto"/>
        <w:bottom w:val="none" w:sz="0" w:space="0" w:color="auto"/>
        <w:right w:val="none" w:sz="0" w:space="0" w:color="auto"/>
      </w:divBdr>
    </w:div>
    <w:div w:id="1146820880">
      <w:marLeft w:val="0"/>
      <w:marRight w:val="0"/>
      <w:marTop w:val="0"/>
      <w:marBottom w:val="0"/>
      <w:divBdr>
        <w:top w:val="none" w:sz="0" w:space="0" w:color="auto"/>
        <w:left w:val="none" w:sz="0" w:space="0" w:color="auto"/>
        <w:bottom w:val="none" w:sz="0" w:space="0" w:color="auto"/>
        <w:right w:val="none" w:sz="0" w:space="0" w:color="auto"/>
      </w:divBdr>
    </w:div>
    <w:div w:id="1146820881">
      <w:marLeft w:val="0"/>
      <w:marRight w:val="0"/>
      <w:marTop w:val="0"/>
      <w:marBottom w:val="0"/>
      <w:divBdr>
        <w:top w:val="none" w:sz="0" w:space="0" w:color="auto"/>
        <w:left w:val="none" w:sz="0" w:space="0" w:color="auto"/>
        <w:bottom w:val="none" w:sz="0" w:space="0" w:color="auto"/>
        <w:right w:val="none" w:sz="0" w:space="0" w:color="auto"/>
      </w:divBdr>
    </w:div>
    <w:div w:id="1146820882">
      <w:marLeft w:val="0"/>
      <w:marRight w:val="0"/>
      <w:marTop w:val="0"/>
      <w:marBottom w:val="0"/>
      <w:divBdr>
        <w:top w:val="none" w:sz="0" w:space="0" w:color="auto"/>
        <w:left w:val="none" w:sz="0" w:space="0" w:color="auto"/>
        <w:bottom w:val="none" w:sz="0" w:space="0" w:color="auto"/>
        <w:right w:val="none" w:sz="0" w:space="0" w:color="auto"/>
      </w:divBdr>
    </w:div>
    <w:div w:id="1146820883">
      <w:marLeft w:val="0"/>
      <w:marRight w:val="0"/>
      <w:marTop w:val="0"/>
      <w:marBottom w:val="0"/>
      <w:divBdr>
        <w:top w:val="none" w:sz="0" w:space="0" w:color="auto"/>
        <w:left w:val="none" w:sz="0" w:space="0" w:color="auto"/>
        <w:bottom w:val="none" w:sz="0" w:space="0" w:color="auto"/>
        <w:right w:val="none" w:sz="0" w:space="0" w:color="auto"/>
      </w:divBdr>
    </w:div>
    <w:div w:id="1146820884">
      <w:marLeft w:val="0"/>
      <w:marRight w:val="0"/>
      <w:marTop w:val="0"/>
      <w:marBottom w:val="0"/>
      <w:divBdr>
        <w:top w:val="none" w:sz="0" w:space="0" w:color="auto"/>
        <w:left w:val="none" w:sz="0" w:space="0" w:color="auto"/>
        <w:bottom w:val="none" w:sz="0" w:space="0" w:color="auto"/>
        <w:right w:val="none" w:sz="0" w:space="0" w:color="auto"/>
      </w:divBdr>
    </w:div>
    <w:div w:id="1146820885">
      <w:marLeft w:val="0"/>
      <w:marRight w:val="0"/>
      <w:marTop w:val="0"/>
      <w:marBottom w:val="0"/>
      <w:divBdr>
        <w:top w:val="none" w:sz="0" w:space="0" w:color="auto"/>
        <w:left w:val="none" w:sz="0" w:space="0" w:color="auto"/>
        <w:bottom w:val="none" w:sz="0" w:space="0" w:color="auto"/>
        <w:right w:val="none" w:sz="0" w:space="0" w:color="auto"/>
      </w:divBdr>
    </w:div>
    <w:div w:id="1146820886">
      <w:marLeft w:val="0"/>
      <w:marRight w:val="0"/>
      <w:marTop w:val="0"/>
      <w:marBottom w:val="0"/>
      <w:divBdr>
        <w:top w:val="none" w:sz="0" w:space="0" w:color="auto"/>
        <w:left w:val="none" w:sz="0" w:space="0" w:color="auto"/>
        <w:bottom w:val="none" w:sz="0" w:space="0" w:color="auto"/>
        <w:right w:val="none" w:sz="0" w:space="0" w:color="auto"/>
      </w:divBdr>
    </w:div>
    <w:div w:id="1146820887">
      <w:marLeft w:val="0"/>
      <w:marRight w:val="0"/>
      <w:marTop w:val="0"/>
      <w:marBottom w:val="0"/>
      <w:divBdr>
        <w:top w:val="none" w:sz="0" w:space="0" w:color="auto"/>
        <w:left w:val="none" w:sz="0" w:space="0" w:color="auto"/>
        <w:bottom w:val="none" w:sz="0" w:space="0" w:color="auto"/>
        <w:right w:val="none" w:sz="0" w:space="0" w:color="auto"/>
      </w:divBdr>
    </w:div>
    <w:div w:id="1146820888">
      <w:marLeft w:val="0"/>
      <w:marRight w:val="0"/>
      <w:marTop w:val="0"/>
      <w:marBottom w:val="0"/>
      <w:divBdr>
        <w:top w:val="none" w:sz="0" w:space="0" w:color="auto"/>
        <w:left w:val="none" w:sz="0" w:space="0" w:color="auto"/>
        <w:bottom w:val="none" w:sz="0" w:space="0" w:color="auto"/>
        <w:right w:val="none" w:sz="0" w:space="0" w:color="auto"/>
      </w:divBdr>
    </w:div>
    <w:div w:id="1146820889">
      <w:marLeft w:val="0"/>
      <w:marRight w:val="0"/>
      <w:marTop w:val="0"/>
      <w:marBottom w:val="0"/>
      <w:divBdr>
        <w:top w:val="none" w:sz="0" w:space="0" w:color="auto"/>
        <w:left w:val="none" w:sz="0" w:space="0" w:color="auto"/>
        <w:bottom w:val="none" w:sz="0" w:space="0" w:color="auto"/>
        <w:right w:val="none" w:sz="0" w:space="0" w:color="auto"/>
      </w:divBdr>
    </w:div>
    <w:div w:id="1146820890">
      <w:marLeft w:val="0"/>
      <w:marRight w:val="0"/>
      <w:marTop w:val="0"/>
      <w:marBottom w:val="0"/>
      <w:divBdr>
        <w:top w:val="none" w:sz="0" w:space="0" w:color="auto"/>
        <w:left w:val="none" w:sz="0" w:space="0" w:color="auto"/>
        <w:bottom w:val="none" w:sz="0" w:space="0" w:color="auto"/>
        <w:right w:val="none" w:sz="0" w:space="0" w:color="auto"/>
      </w:divBdr>
    </w:div>
    <w:div w:id="1146820891">
      <w:marLeft w:val="0"/>
      <w:marRight w:val="0"/>
      <w:marTop w:val="0"/>
      <w:marBottom w:val="0"/>
      <w:divBdr>
        <w:top w:val="none" w:sz="0" w:space="0" w:color="auto"/>
        <w:left w:val="none" w:sz="0" w:space="0" w:color="auto"/>
        <w:bottom w:val="none" w:sz="0" w:space="0" w:color="auto"/>
        <w:right w:val="none" w:sz="0" w:space="0" w:color="auto"/>
      </w:divBdr>
    </w:div>
    <w:div w:id="1146820892">
      <w:marLeft w:val="0"/>
      <w:marRight w:val="0"/>
      <w:marTop w:val="0"/>
      <w:marBottom w:val="0"/>
      <w:divBdr>
        <w:top w:val="none" w:sz="0" w:space="0" w:color="auto"/>
        <w:left w:val="none" w:sz="0" w:space="0" w:color="auto"/>
        <w:bottom w:val="none" w:sz="0" w:space="0" w:color="auto"/>
        <w:right w:val="none" w:sz="0" w:space="0" w:color="auto"/>
      </w:divBdr>
    </w:div>
    <w:div w:id="1146820893">
      <w:marLeft w:val="0"/>
      <w:marRight w:val="0"/>
      <w:marTop w:val="0"/>
      <w:marBottom w:val="0"/>
      <w:divBdr>
        <w:top w:val="none" w:sz="0" w:space="0" w:color="auto"/>
        <w:left w:val="none" w:sz="0" w:space="0" w:color="auto"/>
        <w:bottom w:val="none" w:sz="0" w:space="0" w:color="auto"/>
        <w:right w:val="none" w:sz="0" w:space="0" w:color="auto"/>
      </w:divBdr>
    </w:div>
    <w:div w:id="1146820894">
      <w:marLeft w:val="0"/>
      <w:marRight w:val="0"/>
      <w:marTop w:val="0"/>
      <w:marBottom w:val="0"/>
      <w:divBdr>
        <w:top w:val="none" w:sz="0" w:space="0" w:color="auto"/>
        <w:left w:val="none" w:sz="0" w:space="0" w:color="auto"/>
        <w:bottom w:val="none" w:sz="0" w:space="0" w:color="auto"/>
        <w:right w:val="none" w:sz="0" w:space="0" w:color="auto"/>
      </w:divBdr>
    </w:div>
    <w:div w:id="1146820895">
      <w:marLeft w:val="0"/>
      <w:marRight w:val="0"/>
      <w:marTop w:val="0"/>
      <w:marBottom w:val="0"/>
      <w:divBdr>
        <w:top w:val="none" w:sz="0" w:space="0" w:color="auto"/>
        <w:left w:val="none" w:sz="0" w:space="0" w:color="auto"/>
        <w:bottom w:val="none" w:sz="0" w:space="0" w:color="auto"/>
        <w:right w:val="none" w:sz="0" w:space="0" w:color="auto"/>
      </w:divBdr>
    </w:div>
    <w:div w:id="1146820896">
      <w:marLeft w:val="0"/>
      <w:marRight w:val="0"/>
      <w:marTop w:val="0"/>
      <w:marBottom w:val="0"/>
      <w:divBdr>
        <w:top w:val="none" w:sz="0" w:space="0" w:color="auto"/>
        <w:left w:val="none" w:sz="0" w:space="0" w:color="auto"/>
        <w:bottom w:val="none" w:sz="0" w:space="0" w:color="auto"/>
        <w:right w:val="none" w:sz="0" w:space="0" w:color="auto"/>
      </w:divBdr>
    </w:div>
    <w:div w:id="1146820897">
      <w:marLeft w:val="0"/>
      <w:marRight w:val="0"/>
      <w:marTop w:val="0"/>
      <w:marBottom w:val="0"/>
      <w:divBdr>
        <w:top w:val="none" w:sz="0" w:space="0" w:color="auto"/>
        <w:left w:val="none" w:sz="0" w:space="0" w:color="auto"/>
        <w:bottom w:val="none" w:sz="0" w:space="0" w:color="auto"/>
        <w:right w:val="none" w:sz="0" w:space="0" w:color="auto"/>
      </w:divBdr>
    </w:div>
    <w:div w:id="1146820898">
      <w:marLeft w:val="0"/>
      <w:marRight w:val="0"/>
      <w:marTop w:val="0"/>
      <w:marBottom w:val="0"/>
      <w:divBdr>
        <w:top w:val="none" w:sz="0" w:space="0" w:color="auto"/>
        <w:left w:val="none" w:sz="0" w:space="0" w:color="auto"/>
        <w:bottom w:val="none" w:sz="0" w:space="0" w:color="auto"/>
        <w:right w:val="none" w:sz="0" w:space="0" w:color="auto"/>
      </w:divBdr>
    </w:div>
    <w:div w:id="1178500082">
      <w:bodyDiv w:val="1"/>
      <w:marLeft w:val="0"/>
      <w:marRight w:val="0"/>
      <w:marTop w:val="0"/>
      <w:marBottom w:val="0"/>
      <w:divBdr>
        <w:top w:val="none" w:sz="0" w:space="0" w:color="auto"/>
        <w:left w:val="none" w:sz="0" w:space="0" w:color="auto"/>
        <w:bottom w:val="none" w:sz="0" w:space="0" w:color="auto"/>
        <w:right w:val="none" w:sz="0" w:space="0" w:color="auto"/>
      </w:divBdr>
    </w:div>
    <w:div w:id="1217005730">
      <w:bodyDiv w:val="1"/>
      <w:marLeft w:val="0"/>
      <w:marRight w:val="0"/>
      <w:marTop w:val="0"/>
      <w:marBottom w:val="0"/>
      <w:divBdr>
        <w:top w:val="none" w:sz="0" w:space="0" w:color="auto"/>
        <w:left w:val="none" w:sz="0" w:space="0" w:color="auto"/>
        <w:bottom w:val="none" w:sz="0" w:space="0" w:color="auto"/>
        <w:right w:val="none" w:sz="0" w:space="0" w:color="auto"/>
      </w:divBdr>
    </w:div>
    <w:div w:id="1280258994">
      <w:bodyDiv w:val="1"/>
      <w:marLeft w:val="0"/>
      <w:marRight w:val="0"/>
      <w:marTop w:val="0"/>
      <w:marBottom w:val="0"/>
      <w:divBdr>
        <w:top w:val="none" w:sz="0" w:space="0" w:color="auto"/>
        <w:left w:val="none" w:sz="0" w:space="0" w:color="auto"/>
        <w:bottom w:val="none" w:sz="0" w:space="0" w:color="auto"/>
        <w:right w:val="none" w:sz="0" w:space="0" w:color="auto"/>
      </w:divBdr>
    </w:div>
    <w:div w:id="1299650200">
      <w:bodyDiv w:val="1"/>
      <w:marLeft w:val="0"/>
      <w:marRight w:val="0"/>
      <w:marTop w:val="0"/>
      <w:marBottom w:val="0"/>
      <w:divBdr>
        <w:top w:val="none" w:sz="0" w:space="0" w:color="auto"/>
        <w:left w:val="none" w:sz="0" w:space="0" w:color="auto"/>
        <w:bottom w:val="none" w:sz="0" w:space="0" w:color="auto"/>
        <w:right w:val="none" w:sz="0" w:space="0" w:color="auto"/>
      </w:divBdr>
    </w:div>
    <w:div w:id="1415587059">
      <w:bodyDiv w:val="1"/>
      <w:marLeft w:val="0"/>
      <w:marRight w:val="0"/>
      <w:marTop w:val="0"/>
      <w:marBottom w:val="0"/>
      <w:divBdr>
        <w:top w:val="none" w:sz="0" w:space="0" w:color="auto"/>
        <w:left w:val="none" w:sz="0" w:space="0" w:color="auto"/>
        <w:bottom w:val="none" w:sz="0" w:space="0" w:color="auto"/>
        <w:right w:val="none" w:sz="0" w:space="0" w:color="auto"/>
      </w:divBdr>
    </w:div>
    <w:div w:id="1445536750">
      <w:bodyDiv w:val="1"/>
      <w:marLeft w:val="0"/>
      <w:marRight w:val="0"/>
      <w:marTop w:val="0"/>
      <w:marBottom w:val="0"/>
      <w:divBdr>
        <w:top w:val="none" w:sz="0" w:space="0" w:color="auto"/>
        <w:left w:val="none" w:sz="0" w:space="0" w:color="auto"/>
        <w:bottom w:val="none" w:sz="0" w:space="0" w:color="auto"/>
        <w:right w:val="none" w:sz="0" w:space="0" w:color="auto"/>
      </w:divBdr>
    </w:div>
    <w:div w:id="1465386016">
      <w:bodyDiv w:val="1"/>
      <w:marLeft w:val="0"/>
      <w:marRight w:val="0"/>
      <w:marTop w:val="0"/>
      <w:marBottom w:val="0"/>
      <w:divBdr>
        <w:top w:val="none" w:sz="0" w:space="0" w:color="auto"/>
        <w:left w:val="none" w:sz="0" w:space="0" w:color="auto"/>
        <w:bottom w:val="none" w:sz="0" w:space="0" w:color="auto"/>
        <w:right w:val="none" w:sz="0" w:space="0" w:color="auto"/>
      </w:divBdr>
    </w:div>
    <w:div w:id="1767000318">
      <w:bodyDiv w:val="1"/>
      <w:marLeft w:val="0"/>
      <w:marRight w:val="0"/>
      <w:marTop w:val="0"/>
      <w:marBottom w:val="0"/>
      <w:divBdr>
        <w:top w:val="none" w:sz="0" w:space="0" w:color="auto"/>
        <w:left w:val="none" w:sz="0" w:space="0" w:color="auto"/>
        <w:bottom w:val="none" w:sz="0" w:space="0" w:color="auto"/>
        <w:right w:val="none" w:sz="0" w:space="0" w:color="auto"/>
      </w:divBdr>
    </w:div>
    <w:div w:id="1773865869">
      <w:bodyDiv w:val="1"/>
      <w:marLeft w:val="0"/>
      <w:marRight w:val="0"/>
      <w:marTop w:val="0"/>
      <w:marBottom w:val="0"/>
      <w:divBdr>
        <w:top w:val="none" w:sz="0" w:space="0" w:color="auto"/>
        <w:left w:val="none" w:sz="0" w:space="0" w:color="auto"/>
        <w:bottom w:val="none" w:sz="0" w:space="0" w:color="auto"/>
        <w:right w:val="none" w:sz="0" w:space="0" w:color="auto"/>
      </w:divBdr>
    </w:div>
    <w:div w:id="1825584155">
      <w:bodyDiv w:val="1"/>
      <w:marLeft w:val="0"/>
      <w:marRight w:val="0"/>
      <w:marTop w:val="0"/>
      <w:marBottom w:val="0"/>
      <w:divBdr>
        <w:top w:val="none" w:sz="0" w:space="0" w:color="auto"/>
        <w:left w:val="none" w:sz="0" w:space="0" w:color="auto"/>
        <w:bottom w:val="none" w:sz="0" w:space="0" w:color="auto"/>
        <w:right w:val="none" w:sz="0" w:space="0" w:color="auto"/>
      </w:divBdr>
    </w:div>
    <w:div w:id="1982877821">
      <w:bodyDiv w:val="1"/>
      <w:marLeft w:val="0"/>
      <w:marRight w:val="0"/>
      <w:marTop w:val="0"/>
      <w:marBottom w:val="0"/>
      <w:divBdr>
        <w:top w:val="none" w:sz="0" w:space="0" w:color="auto"/>
        <w:left w:val="none" w:sz="0" w:space="0" w:color="auto"/>
        <w:bottom w:val="none" w:sz="0" w:space="0" w:color="auto"/>
        <w:right w:val="none" w:sz="0" w:space="0" w:color="auto"/>
      </w:divBdr>
    </w:div>
    <w:div w:id="1996101726">
      <w:bodyDiv w:val="1"/>
      <w:marLeft w:val="0"/>
      <w:marRight w:val="0"/>
      <w:marTop w:val="0"/>
      <w:marBottom w:val="0"/>
      <w:divBdr>
        <w:top w:val="none" w:sz="0" w:space="0" w:color="auto"/>
        <w:left w:val="none" w:sz="0" w:space="0" w:color="auto"/>
        <w:bottom w:val="none" w:sz="0" w:space="0" w:color="auto"/>
        <w:right w:val="none" w:sz="0" w:space="0" w:color="auto"/>
      </w:divBdr>
    </w:div>
    <w:div w:id="2040546448">
      <w:bodyDiv w:val="1"/>
      <w:marLeft w:val="0"/>
      <w:marRight w:val="0"/>
      <w:marTop w:val="0"/>
      <w:marBottom w:val="0"/>
      <w:divBdr>
        <w:top w:val="none" w:sz="0" w:space="0" w:color="auto"/>
        <w:left w:val="none" w:sz="0" w:space="0" w:color="auto"/>
        <w:bottom w:val="none" w:sz="0" w:space="0" w:color="auto"/>
        <w:right w:val="none" w:sz="0" w:space="0" w:color="auto"/>
      </w:divBdr>
    </w:div>
    <w:div w:id="206552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cainpractice.newsweaver.co.uk/accainpractice/1fl4ivaef1k1l3m8eceq63/external?a=6&amp;p=58787423&amp;t=3022933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D06EE447BAA348B68B448EA51CDF03" ma:contentTypeVersion="13" ma:contentTypeDescription="Create a new document." ma:contentTypeScope="" ma:versionID="98347411cba915b839b2c17eb62f1a30">
  <xsd:schema xmlns:xsd="http://www.w3.org/2001/XMLSchema" xmlns:xs="http://www.w3.org/2001/XMLSchema" xmlns:p="http://schemas.microsoft.com/office/2006/metadata/properties" xmlns:ns3="e26c4e50-ea9b-4192-94d2-e70236926e53" xmlns:ns4="d3197d30-c7b6-4274-b863-7e34421eb7a1" targetNamespace="http://schemas.microsoft.com/office/2006/metadata/properties" ma:root="true" ma:fieldsID="291704a616f8caaa2d885fe443ef46c6" ns3:_="" ns4:_="">
    <xsd:import namespace="e26c4e50-ea9b-4192-94d2-e70236926e53"/>
    <xsd:import namespace="d3197d30-c7b6-4274-b863-7e34421eb7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c4e50-ea9b-4192-94d2-e70236926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97d30-c7b6-4274-b863-7e34421eb7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2FC5B-68B7-4C31-91EC-A10186A70E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D2392-A899-472C-8153-0E68F855B835}">
  <ds:schemaRefs>
    <ds:schemaRef ds:uri="http://schemas.openxmlformats.org/officeDocument/2006/bibliography"/>
  </ds:schemaRefs>
</ds:datastoreItem>
</file>

<file path=customXml/itemProps3.xml><?xml version="1.0" encoding="utf-8"?>
<ds:datastoreItem xmlns:ds="http://schemas.openxmlformats.org/officeDocument/2006/customXml" ds:itemID="{EFECB0ED-C57E-4B69-9583-EDBB8A5F7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c4e50-ea9b-4192-94d2-e70236926e53"/>
    <ds:schemaRef ds:uri="d3197d30-c7b6-4274-b863-7e34421e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C0E36-0415-4C4F-9851-06EEEE170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10812</CharactersWithSpaces>
  <SharedDoc>false</SharedDoc>
  <HLinks>
    <vt:vector size="18" baseType="variant">
      <vt:variant>
        <vt:i4>7536685</vt:i4>
      </vt:variant>
      <vt:variant>
        <vt:i4>6</vt:i4>
      </vt:variant>
      <vt:variant>
        <vt:i4>0</vt:i4>
      </vt:variant>
      <vt:variant>
        <vt:i4>5</vt:i4>
      </vt:variant>
      <vt:variant>
        <vt:lpwstr>http://accainpractice.newsweaver.co.uk/accainpractice/1fl4ivaef1k1l3m8eceq63/external?a=6&amp;p=58787423&amp;t=30229336</vt:lpwstr>
      </vt:variant>
      <vt:variant>
        <vt:lpwstr/>
      </vt:variant>
      <vt:variant>
        <vt:i4>4522065</vt:i4>
      </vt:variant>
      <vt:variant>
        <vt:i4>3</vt:i4>
      </vt:variant>
      <vt:variant>
        <vt:i4>0</vt:i4>
      </vt:variant>
      <vt:variant>
        <vt:i4>5</vt:i4>
      </vt:variant>
      <vt:variant>
        <vt:lpwstr>https://www.accaglobal.com/uk/en/employer/recruit-acca-accounting-technician-apprentices.html</vt:lpwstr>
      </vt:variant>
      <vt:variant>
        <vt:lpwstr/>
      </vt:variant>
      <vt:variant>
        <vt:i4>4194387</vt:i4>
      </vt:variant>
      <vt:variant>
        <vt:i4>0</vt:i4>
      </vt:variant>
      <vt:variant>
        <vt:i4>0</vt:i4>
      </vt:variant>
      <vt:variant>
        <vt:i4>5</vt:i4>
      </vt:variant>
      <vt:variant>
        <vt:lpwstr>https://www.apprenticeships.gov.uk/employer/how-much-is-it-going-to-cost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Fraser</dc:creator>
  <cp:lastModifiedBy>Yogesh Dhanak</cp:lastModifiedBy>
  <cp:revision>10</cp:revision>
  <cp:lastPrinted>2021-03-03T20:36:00Z</cp:lastPrinted>
  <dcterms:created xsi:type="dcterms:W3CDTF">2021-10-27T16:50:00Z</dcterms:created>
  <dcterms:modified xsi:type="dcterms:W3CDTF">2021-10-28T08:44:00Z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0x010100D3D06EE447BAA348B68B448EA51CDF03</vt:lpwstr>
  </property>
</Properties>
</file>