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85062" w14:textId="6798AF1C" w:rsidR="007C1796" w:rsidRDefault="00ED4DD4" w:rsidP="007A52A3">
      <w:pPr>
        <w:pStyle w:val="Header"/>
        <w:spacing w:line="360" w:lineRule="auto"/>
        <w:rPr>
          <w:rFonts w:ascii="Arial" w:hAnsi="Arial" w:cs="Arial"/>
          <w:noProof/>
          <w:color w:val="000000"/>
          <w:sz w:val="20"/>
          <w:szCs w:val="20"/>
          <w:lang w:eastAsia="en-GB"/>
        </w:rPr>
      </w:pPr>
      <w:r>
        <w:rPr>
          <w:noProof/>
          <w:lang w:val="en-US"/>
        </w:rPr>
        <w:drawing>
          <wp:anchor distT="0" distB="0" distL="114300" distR="114300" simplePos="0" relativeHeight="251657728" behindDoc="0" locked="0" layoutInCell="1" allowOverlap="1" wp14:anchorId="6F98B4BA" wp14:editId="505A45CC">
            <wp:simplePos x="0" y="0"/>
            <wp:positionH relativeFrom="column">
              <wp:posOffset>4114800</wp:posOffset>
            </wp:positionH>
            <wp:positionV relativeFrom="paragraph">
              <wp:posOffset>-571500</wp:posOffset>
            </wp:positionV>
            <wp:extent cx="2578735" cy="1130300"/>
            <wp:effectExtent l="0" t="0" r="12065" b="12700"/>
            <wp:wrapSquare wrapText="bothSides"/>
            <wp:docPr id="4" name="Picture 4"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73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C64">
        <w:rPr>
          <w:rFonts w:ascii="NewsGoth BT" w:hAnsi="NewsGoth BT"/>
          <w:sz w:val="36"/>
          <w:szCs w:val="36"/>
        </w:rPr>
        <w:t xml:space="preserve"> </w:t>
      </w:r>
    </w:p>
    <w:p w14:paraId="2580842A" w14:textId="77777777" w:rsidR="007C1796" w:rsidRDefault="007C1796" w:rsidP="007A52A3">
      <w:pPr>
        <w:pStyle w:val="Header"/>
        <w:spacing w:line="360" w:lineRule="auto"/>
        <w:rPr>
          <w:rFonts w:ascii="Arial" w:hAnsi="Arial" w:cs="Arial"/>
          <w:noProof/>
          <w:color w:val="000000"/>
          <w:sz w:val="20"/>
          <w:szCs w:val="20"/>
          <w:lang w:eastAsia="en-GB"/>
        </w:rPr>
      </w:pPr>
    </w:p>
    <w:p w14:paraId="4E5AFA73" w14:textId="77777777" w:rsidR="007C1796" w:rsidRDefault="003101C6" w:rsidP="007A52A3">
      <w:pPr>
        <w:pStyle w:val="Header"/>
        <w:tabs>
          <w:tab w:val="clear" w:pos="4153"/>
          <w:tab w:val="clear" w:pos="8306"/>
          <w:tab w:val="left" w:pos="284"/>
        </w:tabs>
        <w:spacing w:line="360" w:lineRule="auto"/>
        <w:outlineLvl w:val="0"/>
        <w:rPr>
          <w:rFonts w:ascii="Arial" w:hAnsi="Arial" w:cs="Arial"/>
          <w:bCs/>
          <w:sz w:val="44"/>
          <w:szCs w:val="44"/>
        </w:rPr>
      </w:pPr>
      <w:r>
        <w:rPr>
          <w:rFonts w:ascii="Arial" w:hAnsi="Arial" w:cs="Arial"/>
          <w:bCs/>
          <w:sz w:val="44"/>
          <w:szCs w:val="44"/>
        </w:rPr>
        <w:t>Techni</w:t>
      </w:r>
      <w:r w:rsidR="008514ED">
        <w:rPr>
          <w:rFonts w:ascii="Arial" w:hAnsi="Arial" w:cs="Arial"/>
          <w:bCs/>
          <w:sz w:val="44"/>
          <w:szCs w:val="44"/>
        </w:rPr>
        <w:t>c</w:t>
      </w:r>
      <w:r>
        <w:rPr>
          <w:rFonts w:ascii="Arial" w:hAnsi="Arial" w:cs="Arial"/>
          <w:bCs/>
          <w:sz w:val="44"/>
          <w:szCs w:val="44"/>
        </w:rPr>
        <w:t>al factsheet</w:t>
      </w:r>
      <w:r w:rsidR="008514ED">
        <w:rPr>
          <w:rFonts w:ascii="Arial" w:hAnsi="Arial" w:cs="Arial"/>
          <w:bCs/>
          <w:sz w:val="44"/>
          <w:szCs w:val="44"/>
        </w:rPr>
        <w:t xml:space="preserve"> </w:t>
      </w:r>
    </w:p>
    <w:p w14:paraId="1346FAA7" w14:textId="7099F8AD" w:rsidR="00222BF6" w:rsidRPr="005B4B10" w:rsidRDefault="005B7B17" w:rsidP="00214121">
      <w:pPr>
        <w:pStyle w:val="Title"/>
        <w:spacing w:line="360" w:lineRule="auto"/>
        <w:rPr>
          <w:rFonts w:ascii="Arial" w:hAnsi="Arial" w:cs="Arial"/>
          <w:sz w:val="44"/>
          <w:szCs w:val="44"/>
        </w:rPr>
      </w:pPr>
      <w:r w:rsidRPr="00890E0E">
        <w:rPr>
          <w:rFonts w:ascii="Arial" w:hAnsi="Arial" w:cs="Arial"/>
          <w:sz w:val="44"/>
          <w:szCs w:val="44"/>
        </w:rPr>
        <w:t xml:space="preserve">FRS 102 – </w:t>
      </w:r>
      <w:r>
        <w:rPr>
          <w:rFonts w:ascii="Arial" w:hAnsi="Arial" w:cs="Arial"/>
          <w:sz w:val="44"/>
          <w:szCs w:val="44"/>
        </w:rPr>
        <w:t>t</w:t>
      </w:r>
      <w:r w:rsidRPr="00890E0E">
        <w:rPr>
          <w:rFonts w:ascii="Arial" w:hAnsi="Arial" w:cs="Arial"/>
          <w:sz w:val="44"/>
          <w:szCs w:val="44"/>
        </w:rPr>
        <w:t xml:space="preserve">ransition </w:t>
      </w:r>
      <w:r>
        <w:rPr>
          <w:rFonts w:ascii="Arial" w:hAnsi="Arial" w:cs="Arial"/>
          <w:sz w:val="44"/>
          <w:szCs w:val="44"/>
        </w:rPr>
        <w:t>i</w:t>
      </w:r>
      <w:r w:rsidRPr="00890E0E">
        <w:rPr>
          <w:rFonts w:ascii="Arial" w:hAnsi="Arial" w:cs="Arial"/>
          <w:sz w:val="44"/>
          <w:szCs w:val="44"/>
        </w:rPr>
        <w:t xml:space="preserve">ssues </w:t>
      </w:r>
      <w:r w:rsidR="00222BF6" w:rsidRPr="005B4B10">
        <w:rPr>
          <w:rFonts w:ascii="Arial" w:hAnsi="Arial" w:cs="Arial"/>
          <w:sz w:val="44"/>
          <w:szCs w:val="44"/>
        </w:rPr>
        <w:t xml:space="preserve">for </w:t>
      </w:r>
      <w:r w:rsidR="00C93FC9">
        <w:rPr>
          <w:rFonts w:ascii="Arial" w:hAnsi="Arial" w:cs="Arial"/>
          <w:sz w:val="44"/>
          <w:szCs w:val="44"/>
        </w:rPr>
        <w:t>small</w:t>
      </w:r>
      <w:r w:rsidR="00222BF6" w:rsidRPr="005B4B10">
        <w:rPr>
          <w:rFonts w:ascii="Arial" w:hAnsi="Arial" w:cs="Arial"/>
          <w:sz w:val="44"/>
          <w:szCs w:val="44"/>
        </w:rPr>
        <w:t xml:space="preserve"> </w:t>
      </w:r>
      <w:r w:rsidR="00222BF6">
        <w:rPr>
          <w:rFonts w:ascii="Arial" w:hAnsi="Arial" w:cs="Arial"/>
          <w:sz w:val="44"/>
          <w:szCs w:val="44"/>
        </w:rPr>
        <w:t>c</w:t>
      </w:r>
      <w:r w:rsidR="00222BF6" w:rsidRPr="005B4B10">
        <w:rPr>
          <w:rFonts w:ascii="Arial" w:hAnsi="Arial" w:cs="Arial"/>
          <w:sz w:val="44"/>
          <w:szCs w:val="44"/>
        </w:rPr>
        <w:t>ompanies</w:t>
      </w:r>
    </w:p>
    <w:p w14:paraId="250A8939" w14:textId="77777777" w:rsidR="005B7B17" w:rsidRPr="00890E0E" w:rsidRDefault="005B7B17" w:rsidP="00214121">
      <w:pPr>
        <w:spacing w:line="360" w:lineRule="auto"/>
        <w:rPr>
          <w:rFonts w:ascii="Arial" w:hAnsi="Arial" w:cs="Arial"/>
          <w:sz w:val="44"/>
          <w:szCs w:val="44"/>
        </w:rPr>
      </w:pPr>
    </w:p>
    <w:p w14:paraId="203F1E29" w14:textId="1C6821BE" w:rsidR="00AB1E8B" w:rsidRPr="007A2402" w:rsidRDefault="00AB1E8B">
      <w:pPr>
        <w:pStyle w:val="Header"/>
        <w:tabs>
          <w:tab w:val="clear" w:pos="4153"/>
          <w:tab w:val="clear" w:pos="8306"/>
          <w:tab w:val="left" w:pos="284"/>
          <w:tab w:val="left" w:pos="709"/>
        </w:tabs>
        <w:spacing w:line="360" w:lineRule="auto"/>
        <w:rPr>
          <w:rFonts w:ascii="Arial" w:hAnsi="Arial" w:cs="Arial"/>
          <w:b/>
          <w:bCs/>
          <w:sz w:val="44"/>
          <w:szCs w:val="44"/>
        </w:rPr>
      </w:pPr>
    </w:p>
    <w:p w14:paraId="3074C531" w14:textId="77777777" w:rsidR="007C1796" w:rsidRPr="007A2402" w:rsidRDefault="007C1796">
      <w:pPr>
        <w:pStyle w:val="Header"/>
        <w:tabs>
          <w:tab w:val="clear" w:pos="4153"/>
          <w:tab w:val="clear" w:pos="8306"/>
          <w:tab w:val="left" w:pos="915"/>
        </w:tabs>
        <w:spacing w:line="360" w:lineRule="auto"/>
        <w:rPr>
          <w:rFonts w:ascii="Arial" w:hAnsi="Arial" w:cs="Arial"/>
          <w:b/>
          <w:bCs/>
        </w:rPr>
      </w:pPr>
      <w:r w:rsidRPr="007A2402">
        <w:rPr>
          <w:rFonts w:ascii="Arial" w:hAnsi="Arial" w:cs="Arial"/>
          <w:b/>
          <w:bCs/>
        </w:rPr>
        <w:tab/>
      </w:r>
    </w:p>
    <w:p w14:paraId="66C881D5" w14:textId="77777777" w:rsidR="00F66888" w:rsidRPr="007A52A3" w:rsidRDefault="00F66888">
      <w:pPr>
        <w:spacing w:line="360" w:lineRule="auto"/>
        <w:rPr>
          <w:rFonts w:ascii="Arial" w:hAnsi="Arial" w:cs="Arial"/>
        </w:rPr>
      </w:pPr>
    </w:p>
    <w:p w14:paraId="33F5FBD9" w14:textId="4304E283" w:rsidR="007A52A3" w:rsidRPr="00214121" w:rsidRDefault="007A52A3" w:rsidP="00214121">
      <w:pPr>
        <w:pStyle w:val="Heading1"/>
        <w:tabs>
          <w:tab w:val="right" w:pos="7371"/>
        </w:tabs>
        <w:spacing w:line="360" w:lineRule="auto"/>
        <w:rPr>
          <w:rFonts w:ascii="Arial" w:hAnsi="Arial"/>
        </w:rPr>
      </w:pPr>
      <w:r w:rsidRPr="00214121">
        <w:rPr>
          <w:rFonts w:ascii="Arial" w:hAnsi="Arial"/>
        </w:rPr>
        <w:t>Contents</w:t>
      </w:r>
      <w:r w:rsidRPr="00214121">
        <w:rPr>
          <w:rFonts w:ascii="Arial" w:hAnsi="Arial"/>
        </w:rPr>
        <w:tab/>
      </w:r>
      <w:r w:rsidRPr="00214121">
        <w:rPr>
          <w:rFonts w:ascii="Arial" w:hAnsi="Arial"/>
        </w:rPr>
        <w:tab/>
      </w:r>
      <w:r w:rsidRPr="00214121">
        <w:rPr>
          <w:rFonts w:ascii="Arial" w:hAnsi="Arial"/>
        </w:rPr>
        <w:tab/>
      </w:r>
      <w:r w:rsidRPr="00214121">
        <w:rPr>
          <w:rFonts w:ascii="Arial" w:hAnsi="Arial"/>
        </w:rPr>
        <w:tab/>
      </w:r>
      <w:r w:rsidRPr="00214121">
        <w:rPr>
          <w:rFonts w:ascii="Arial" w:hAnsi="Arial"/>
        </w:rPr>
        <w:tab/>
      </w:r>
      <w:r w:rsidRPr="00214121">
        <w:rPr>
          <w:rFonts w:ascii="Arial" w:hAnsi="Arial"/>
        </w:rPr>
        <w:tab/>
        <w:t>Page</w:t>
      </w:r>
    </w:p>
    <w:p w14:paraId="7ECB801B" w14:textId="32A0FBE9" w:rsidR="007A52A3" w:rsidRPr="00214121" w:rsidRDefault="007A52A3" w:rsidP="00214121">
      <w:pPr>
        <w:tabs>
          <w:tab w:val="right" w:pos="7371"/>
        </w:tabs>
        <w:spacing w:line="360" w:lineRule="auto"/>
        <w:rPr>
          <w:rFonts w:ascii="Arial" w:hAnsi="Arial"/>
        </w:rPr>
      </w:pPr>
      <w:r w:rsidRPr="00214121">
        <w:rPr>
          <w:rFonts w:ascii="Arial" w:hAnsi="Arial"/>
        </w:rPr>
        <w:t>Introduction</w:t>
      </w:r>
      <w:r w:rsidRPr="00214121">
        <w:rPr>
          <w:rFonts w:ascii="Arial" w:hAnsi="Arial"/>
        </w:rPr>
        <w:tab/>
      </w:r>
      <w:r w:rsidR="00DB3352">
        <w:rPr>
          <w:rFonts w:ascii="Arial" w:hAnsi="Arial"/>
        </w:rPr>
        <w:t>2</w:t>
      </w:r>
    </w:p>
    <w:p w14:paraId="5FFE8890" w14:textId="45AF0CBD" w:rsidR="007A52A3" w:rsidRPr="00214121" w:rsidRDefault="007A52A3" w:rsidP="00214121">
      <w:pPr>
        <w:tabs>
          <w:tab w:val="right" w:pos="7371"/>
        </w:tabs>
        <w:spacing w:line="360" w:lineRule="auto"/>
        <w:rPr>
          <w:rFonts w:ascii="Arial" w:hAnsi="Arial"/>
        </w:rPr>
      </w:pPr>
      <w:r w:rsidRPr="00214121">
        <w:rPr>
          <w:rFonts w:ascii="Arial" w:hAnsi="Arial"/>
        </w:rPr>
        <w:t xml:space="preserve">Standards in issue and withdrawal of the </w:t>
      </w:r>
      <w:r w:rsidRPr="00214121">
        <w:rPr>
          <w:rFonts w:ascii="Arial" w:hAnsi="Arial"/>
          <w:i/>
        </w:rPr>
        <w:t>FRSSE</w:t>
      </w:r>
      <w:r w:rsidRPr="00214121">
        <w:rPr>
          <w:rFonts w:ascii="Arial" w:hAnsi="Arial"/>
        </w:rPr>
        <w:tab/>
      </w:r>
      <w:r w:rsidR="00400E28">
        <w:rPr>
          <w:rFonts w:ascii="Arial" w:hAnsi="Arial"/>
        </w:rPr>
        <w:t>3</w:t>
      </w:r>
    </w:p>
    <w:p w14:paraId="42C9E6C9" w14:textId="7D77B069" w:rsidR="007A52A3" w:rsidRPr="00214121" w:rsidRDefault="007A52A3" w:rsidP="00214121">
      <w:pPr>
        <w:tabs>
          <w:tab w:val="right" w:pos="7371"/>
        </w:tabs>
        <w:spacing w:line="360" w:lineRule="auto"/>
        <w:rPr>
          <w:rFonts w:ascii="Arial" w:hAnsi="Arial"/>
        </w:rPr>
      </w:pPr>
      <w:r w:rsidRPr="00214121">
        <w:rPr>
          <w:rFonts w:ascii="Arial" w:hAnsi="Arial"/>
        </w:rPr>
        <w:t>Amendments to the Companies Act 2006 (SI 2015/980)</w:t>
      </w:r>
      <w:r w:rsidRPr="00214121">
        <w:rPr>
          <w:rFonts w:ascii="Arial" w:hAnsi="Arial"/>
        </w:rPr>
        <w:tab/>
      </w:r>
      <w:r w:rsidR="00125F0C">
        <w:rPr>
          <w:rFonts w:ascii="Arial" w:hAnsi="Arial"/>
        </w:rPr>
        <w:t>3</w:t>
      </w:r>
    </w:p>
    <w:p w14:paraId="56A78B21" w14:textId="58A5B141" w:rsidR="007A52A3" w:rsidRPr="00214121" w:rsidRDefault="007A52A3" w:rsidP="00214121">
      <w:pPr>
        <w:tabs>
          <w:tab w:val="right" w:pos="7371"/>
        </w:tabs>
        <w:spacing w:line="360" w:lineRule="auto"/>
        <w:rPr>
          <w:rFonts w:ascii="Arial" w:hAnsi="Arial"/>
        </w:rPr>
      </w:pPr>
      <w:r w:rsidRPr="00214121">
        <w:rPr>
          <w:rFonts w:ascii="Arial" w:hAnsi="Arial"/>
        </w:rPr>
        <w:t>Reduced disclosure requirements and the true and fair concept</w:t>
      </w:r>
      <w:r>
        <w:rPr>
          <w:rFonts w:ascii="Arial" w:hAnsi="Arial"/>
        </w:rPr>
        <w:tab/>
      </w:r>
      <w:r w:rsidR="003E56F4">
        <w:rPr>
          <w:rFonts w:ascii="Arial" w:hAnsi="Arial"/>
        </w:rPr>
        <w:t>5</w:t>
      </w:r>
    </w:p>
    <w:p w14:paraId="74915038" w14:textId="153548BE" w:rsidR="007A52A3" w:rsidRPr="00214121" w:rsidRDefault="007A52A3" w:rsidP="00214121">
      <w:pPr>
        <w:tabs>
          <w:tab w:val="right" w:pos="7371"/>
        </w:tabs>
        <w:spacing w:line="360" w:lineRule="auto"/>
        <w:rPr>
          <w:rFonts w:ascii="Arial" w:hAnsi="Arial"/>
        </w:rPr>
      </w:pPr>
      <w:r w:rsidRPr="00214121">
        <w:rPr>
          <w:rFonts w:ascii="Arial" w:hAnsi="Arial"/>
        </w:rPr>
        <w:t>Transition to FRS 102</w:t>
      </w:r>
      <w:r w:rsidRPr="00214121">
        <w:rPr>
          <w:rFonts w:ascii="Arial" w:hAnsi="Arial"/>
        </w:rPr>
        <w:tab/>
      </w:r>
      <w:r w:rsidR="00AE4C04">
        <w:rPr>
          <w:rFonts w:ascii="Arial" w:hAnsi="Arial"/>
        </w:rPr>
        <w:t>7</w:t>
      </w:r>
    </w:p>
    <w:p w14:paraId="05BF6F61" w14:textId="2EC87E47" w:rsidR="007A52A3" w:rsidRPr="00214121" w:rsidRDefault="007A52A3" w:rsidP="00214121">
      <w:pPr>
        <w:tabs>
          <w:tab w:val="right" w:pos="7371"/>
        </w:tabs>
        <w:spacing w:line="360" w:lineRule="auto"/>
        <w:rPr>
          <w:rFonts w:ascii="Arial" w:hAnsi="Arial"/>
        </w:rPr>
      </w:pPr>
      <w:r w:rsidRPr="00214121">
        <w:rPr>
          <w:rFonts w:ascii="Arial" w:hAnsi="Arial"/>
        </w:rPr>
        <w:t>Transition to FRS 102: worked example</w:t>
      </w:r>
      <w:r w:rsidRPr="00214121">
        <w:rPr>
          <w:rFonts w:ascii="Arial" w:hAnsi="Arial"/>
        </w:rPr>
        <w:tab/>
      </w:r>
      <w:r w:rsidR="00747EBE">
        <w:rPr>
          <w:rFonts w:ascii="Arial" w:hAnsi="Arial"/>
        </w:rPr>
        <w:t>21</w:t>
      </w:r>
      <w:r w:rsidRPr="00214121">
        <w:rPr>
          <w:rFonts w:ascii="Arial" w:hAnsi="Arial"/>
        </w:rPr>
        <w:tab/>
      </w:r>
    </w:p>
    <w:p w14:paraId="1C20999B" w14:textId="0C436E00" w:rsidR="007A52A3" w:rsidRPr="00214121" w:rsidRDefault="007A52A3" w:rsidP="00214121">
      <w:pPr>
        <w:tabs>
          <w:tab w:val="right" w:pos="7371"/>
        </w:tabs>
        <w:spacing w:line="360" w:lineRule="auto"/>
        <w:rPr>
          <w:rFonts w:ascii="Arial" w:hAnsi="Arial"/>
        </w:rPr>
      </w:pPr>
      <w:r w:rsidRPr="00214121">
        <w:rPr>
          <w:rFonts w:ascii="Arial" w:hAnsi="Arial"/>
        </w:rPr>
        <w:t xml:space="preserve">Disclosure requirements </w:t>
      </w:r>
      <w:r w:rsidRPr="00214121">
        <w:rPr>
          <w:rFonts w:ascii="Arial" w:hAnsi="Arial"/>
        </w:rPr>
        <w:tab/>
      </w:r>
      <w:r w:rsidR="006A22FE">
        <w:rPr>
          <w:rFonts w:ascii="Arial" w:hAnsi="Arial"/>
        </w:rPr>
        <w:t>3</w:t>
      </w:r>
      <w:r w:rsidR="00536EA6">
        <w:rPr>
          <w:rFonts w:ascii="Arial" w:hAnsi="Arial"/>
        </w:rPr>
        <w:t>4</w:t>
      </w:r>
    </w:p>
    <w:p w14:paraId="29B1A015" w14:textId="77777777" w:rsidR="007A52A3" w:rsidRPr="00214121" w:rsidRDefault="007A52A3" w:rsidP="00214121">
      <w:pPr>
        <w:spacing w:line="360" w:lineRule="auto"/>
        <w:rPr>
          <w:rFonts w:ascii="Arial" w:hAnsi="Arial"/>
        </w:rPr>
      </w:pPr>
    </w:p>
    <w:p w14:paraId="0E455CF1" w14:textId="77777777" w:rsidR="007A52A3" w:rsidRPr="00214121" w:rsidRDefault="007A52A3" w:rsidP="00214121">
      <w:pPr>
        <w:spacing w:line="360" w:lineRule="auto"/>
        <w:rPr>
          <w:rFonts w:ascii="Arial" w:hAnsi="Arial"/>
          <w:b/>
        </w:rPr>
      </w:pPr>
    </w:p>
    <w:p w14:paraId="5163FE2F" w14:textId="77777777" w:rsidR="002826AB" w:rsidRPr="00890E0E" w:rsidRDefault="002826AB" w:rsidP="002826AB">
      <w:pPr>
        <w:spacing w:line="360" w:lineRule="auto"/>
        <w:rPr>
          <w:rFonts w:ascii="Arial" w:hAnsi="Arial" w:cs="Arial"/>
        </w:rPr>
      </w:pPr>
      <w:r w:rsidRPr="00890E0E">
        <w:rPr>
          <w:rFonts w:ascii="Arial" w:hAnsi="Arial" w:cs="Arial"/>
        </w:rPr>
        <w:t xml:space="preserve">This </w:t>
      </w:r>
      <w:r>
        <w:rPr>
          <w:rFonts w:ascii="Arial" w:hAnsi="Arial" w:cs="Arial"/>
        </w:rPr>
        <w:t>f</w:t>
      </w:r>
      <w:r w:rsidRPr="00890E0E">
        <w:rPr>
          <w:rFonts w:ascii="Arial" w:hAnsi="Arial" w:cs="Arial"/>
        </w:rPr>
        <w:t xml:space="preserve">actsheet has been produced in </w:t>
      </w:r>
      <w:r>
        <w:rPr>
          <w:rFonts w:ascii="Arial" w:hAnsi="Arial" w:cs="Arial"/>
        </w:rPr>
        <w:t>p</w:t>
      </w:r>
      <w:r w:rsidRPr="00890E0E">
        <w:rPr>
          <w:rFonts w:ascii="Arial" w:hAnsi="Arial" w:cs="Arial"/>
        </w:rPr>
        <w:t>artnership with Steve Collings FMAAT FCCA</w:t>
      </w:r>
      <w:r>
        <w:rPr>
          <w:rFonts w:ascii="Arial" w:hAnsi="Arial" w:cs="Arial"/>
        </w:rPr>
        <w:t>,</w:t>
      </w:r>
    </w:p>
    <w:p w14:paraId="041B2D77" w14:textId="77777777" w:rsidR="002826AB" w:rsidRPr="00890E0E" w:rsidRDefault="002826AB" w:rsidP="002826AB">
      <w:pPr>
        <w:spacing w:line="360" w:lineRule="auto"/>
        <w:rPr>
          <w:rFonts w:ascii="Arial" w:hAnsi="Arial" w:cs="Arial"/>
        </w:rPr>
      </w:pPr>
      <w:r>
        <w:rPr>
          <w:rFonts w:ascii="Arial" w:hAnsi="Arial" w:cs="Arial"/>
        </w:rPr>
        <w:t>d</w:t>
      </w:r>
      <w:r w:rsidRPr="00890E0E">
        <w:rPr>
          <w:rFonts w:ascii="Arial" w:hAnsi="Arial" w:cs="Arial"/>
        </w:rPr>
        <w:t>irector of Leavitt Walmsley Associates Ltd Chartered certified Accountants, lecturer and author of financial reporting publications. You can find the latest publications at</w:t>
      </w:r>
      <w:r>
        <w:rPr>
          <w:rFonts w:ascii="Arial" w:hAnsi="Arial" w:cs="Arial"/>
        </w:rPr>
        <w:t xml:space="preserve"> </w:t>
      </w:r>
      <w:hyperlink r:id="rId10" w:history="1">
        <w:r w:rsidRPr="00AB5C75">
          <w:rPr>
            <w:rStyle w:val="Hyperlink"/>
            <w:rFonts w:ascii="Arial" w:hAnsi="Arial" w:cs="Arial"/>
          </w:rPr>
          <w:t>stevecollings.co.uk</w:t>
        </w:r>
      </w:hyperlink>
      <w:r>
        <w:rPr>
          <w:rFonts w:ascii="Arial" w:hAnsi="Arial" w:cs="Arial"/>
        </w:rPr>
        <w:t>.</w:t>
      </w:r>
    </w:p>
    <w:p w14:paraId="6B3C8910" w14:textId="77777777" w:rsidR="002826AB" w:rsidRDefault="002826AB" w:rsidP="00214121">
      <w:pPr>
        <w:pStyle w:val="Heading1"/>
        <w:spacing w:line="360" w:lineRule="auto"/>
        <w:rPr>
          <w:rFonts w:ascii="Arial" w:hAnsi="Arial"/>
        </w:rPr>
      </w:pPr>
    </w:p>
    <w:p w14:paraId="537813C1" w14:textId="77777777" w:rsidR="00D42542" w:rsidRDefault="00D42542">
      <w:pPr>
        <w:rPr>
          <w:rFonts w:ascii="Arial" w:hAnsi="Arial"/>
          <w:b/>
          <w:bCs/>
        </w:rPr>
      </w:pPr>
      <w:r>
        <w:rPr>
          <w:rFonts w:ascii="Arial" w:hAnsi="Arial"/>
        </w:rPr>
        <w:br w:type="page"/>
      </w:r>
    </w:p>
    <w:p w14:paraId="138A9A45" w14:textId="10A98C4D" w:rsidR="007A52A3" w:rsidRPr="00214121" w:rsidRDefault="00DB3352" w:rsidP="00214121">
      <w:pPr>
        <w:pStyle w:val="Heading1"/>
        <w:spacing w:line="360" w:lineRule="auto"/>
        <w:rPr>
          <w:rFonts w:ascii="Arial" w:hAnsi="Arial"/>
        </w:rPr>
      </w:pPr>
      <w:r>
        <w:rPr>
          <w:rFonts w:ascii="Arial" w:hAnsi="Arial"/>
        </w:rPr>
        <w:lastRenderedPageBreak/>
        <w:t>INTRODUCTION</w:t>
      </w:r>
    </w:p>
    <w:p w14:paraId="474D0BD4" w14:textId="39D0E8BD" w:rsidR="007A52A3" w:rsidRPr="00214121" w:rsidRDefault="007A52A3" w:rsidP="00214121">
      <w:pPr>
        <w:spacing w:line="360" w:lineRule="auto"/>
        <w:rPr>
          <w:rFonts w:ascii="Arial" w:hAnsi="Arial"/>
        </w:rPr>
      </w:pPr>
      <w:r w:rsidRPr="00214121">
        <w:rPr>
          <w:rFonts w:ascii="Arial" w:hAnsi="Arial"/>
        </w:rPr>
        <w:t>FRS 102</w:t>
      </w:r>
      <w:r w:rsidR="002826AB">
        <w:rPr>
          <w:rFonts w:ascii="Arial" w:hAnsi="Arial"/>
        </w:rPr>
        <w:t>,</w:t>
      </w:r>
      <w:r w:rsidRPr="00214121">
        <w:rPr>
          <w:rFonts w:ascii="Arial" w:hAnsi="Arial"/>
        </w:rPr>
        <w:t xml:space="preserve"> </w:t>
      </w:r>
      <w:r w:rsidRPr="00214121">
        <w:rPr>
          <w:rFonts w:ascii="Arial" w:hAnsi="Arial"/>
          <w:i/>
        </w:rPr>
        <w:t>The Financial Reporting Standard applicable in the UK and Republic of Ireland</w:t>
      </w:r>
      <w:r w:rsidR="002826AB" w:rsidRPr="00214121">
        <w:rPr>
          <w:rFonts w:ascii="Arial" w:hAnsi="Arial"/>
        </w:rPr>
        <w:t xml:space="preserve">, </w:t>
      </w:r>
      <w:r w:rsidRPr="00214121">
        <w:rPr>
          <w:rFonts w:ascii="Arial" w:hAnsi="Arial"/>
        </w:rPr>
        <w:t>has been in issuance since March 2013 and applies mandatorily for companies not eligib</w:t>
      </w:r>
      <w:r w:rsidR="00884FBD">
        <w:rPr>
          <w:rFonts w:ascii="Arial" w:hAnsi="Arial"/>
        </w:rPr>
        <w:t>le to apply the small companies</w:t>
      </w:r>
      <w:r w:rsidRPr="00214121">
        <w:rPr>
          <w:rFonts w:ascii="Arial" w:hAnsi="Arial"/>
        </w:rPr>
        <w:t xml:space="preserve"> regime in the preparation of their financial statements for accounting periods starting on or after 1 January 2015, with earlier adoption permissible.</w:t>
      </w:r>
      <w:r>
        <w:rPr>
          <w:rFonts w:ascii="Arial" w:hAnsi="Arial"/>
        </w:rPr>
        <w:t xml:space="preserve"> </w:t>
      </w:r>
      <w:r w:rsidRPr="00214121">
        <w:rPr>
          <w:rFonts w:ascii="Arial" w:hAnsi="Arial"/>
        </w:rPr>
        <w:t xml:space="preserve">Small companies will be moved under the scope of FRS 102 mandatorily for accounting periods starting on or after 1 January 2016. </w:t>
      </w:r>
    </w:p>
    <w:p w14:paraId="71CB97C8" w14:textId="77777777" w:rsidR="007A52A3" w:rsidRPr="00214121" w:rsidRDefault="007A52A3" w:rsidP="00214121">
      <w:pPr>
        <w:spacing w:line="360" w:lineRule="auto"/>
        <w:rPr>
          <w:rFonts w:ascii="Arial" w:hAnsi="Arial"/>
        </w:rPr>
      </w:pPr>
    </w:p>
    <w:p w14:paraId="2A8AD6B5" w14:textId="4C72951D" w:rsidR="007A52A3" w:rsidRPr="00214121" w:rsidRDefault="007A52A3" w:rsidP="00214121">
      <w:pPr>
        <w:spacing w:line="360" w:lineRule="auto"/>
        <w:rPr>
          <w:rFonts w:ascii="Arial" w:hAnsi="Arial"/>
        </w:rPr>
      </w:pPr>
      <w:r w:rsidRPr="00214121">
        <w:rPr>
          <w:rFonts w:ascii="Arial" w:hAnsi="Arial"/>
        </w:rPr>
        <w:t xml:space="preserve">FRS 102 is based on the principles found in International Financial Reporting Standards (IFRSs), specifically </w:t>
      </w:r>
      <w:r w:rsidRPr="00214121">
        <w:rPr>
          <w:rFonts w:ascii="Arial" w:hAnsi="Arial"/>
          <w:i/>
        </w:rPr>
        <w:t>IFRS for SMEs</w:t>
      </w:r>
      <w:r w:rsidRPr="00214121">
        <w:rPr>
          <w:rFonts w:ascii="Arial" w:hAnsi="Arial"/>
        </w:rPr>
        <w:t>.</w:t>
      </w:r>
      <w:r>
        <w:rPr>
          <w:rFonts w:ascii="Arial" w:hAnsi="Arial"/>
        </w:rPr>
        <w:t xml:space="preserve"> </w:t>
      </w:r>
      <w:r w:rsidRPr="00214121">
        <w:rPr>
          <w:rFonts w:ascii="Arial" w:hAnsi="Arial"/>
          <w:i/>
        </w:rPr>
        <w:t>IFRS for SMEs</w:t>
      </w:r>
      <w:r w:rsidRPr="00214121">
        <w:rPr>
          <w:rFonts w:ascii="Arial" w:hAnsi="Arial"/>
        </w:rPr>
        <w:t xml:space="preserve"> is intended to apply to general</w:t>
      </w:r>
      <w:r w:rsidR="00884FBD">
        <w:rPr>
          <w:rFonts w:ascii="Arial" w:hAnsi="Arial"/>
        </w:rPr>
        <w:t>-</w:t>
      </w:r>
      <w:r w:rsidRPr="00214121">
        <w:rPr>
          <w:rFonts w:ascii="Arial" w:hAnsi="Arial"/>
        </w:rPr>
        <w:t>purpose financial statements by entities which are classed as ‘small and medium-sized’ or ‘private’ and ‘non-publicly accountable’.</w:t>
      </w:r>
      <w:r>
        <w:rPr>
          <w:rFonts w:ascii="Arial" w:hAnsi="Arial"/>
        </w:rPr>
        <w:t xml:space="preserve"> </w:t>
      </w:r>
      <w:r w:rsidRPr="00214121">
        <w:rPr>
          <w:rFonts w:ascii="Arial" w:hAnsi="Arial"/>
        </w:rPr>
        <w:t>The term ‘publicly accountable’ was difficult to define in the context of legislation and hence is not a recognised concept in UK GAAP.</w:t>
      </w:r>
      <w:r>
        <w:rPr>
          <w:rFonts w:ascii="Arial" w:hAnsi="Arial"/>
        </w:rPr>
        <w:t xml:space="preserve"> </w:t>
      </w:r>
    </w:p>
    <w:p w14:paraId="2B5BABC1" w14:textId="77777777" w:rsidR="007A52A3" w:rsidRPr="00214121" w:rsidRDefault="007A52A3" w:rsidP="00214121">
      <w:pPr>
        <w:spacing w:line="360" w:lineRule="auto"/>
        <w:rPr>
          <w:rFonts w:ascii="Arial" w:hAnsi="Arial"/>
        </w:rPr>
      </w:pPr>
    </w:p>
    <w:p w14:paraId="76D8E852" w14:textId="6749A32F" w:rsidR="007A52A3" w:rsidRPr="00214121" w:rsidRDefault="007A52A3" w:rsidP="00214121">
      <w:pPr>
        <w:spacing w:line="360" w:lineRule="auto"/>
        <w:rPr>
          <w:rFonts w:ascii="Arial" w:hAnsi="Arial"/>
        </w:rPr>
      </w:pPr>
      <w:r w:rsidRPr="00214121">
        <w:rPr>
          <w:rFonts w:ascii="Arial" w:hAnsi="Arial"/>
        </w:rPr>
        <w:t xml:space="preserve">While FRS 102 is based on the principles found in </w:t>
      </w:r>
      <w:r w:rsidRPr="00214121">
        <w:rPr>
          <w:rFonts w:ascii="Arial" w:hAnsi="Arial"/>
          <w:i/>
        </w:rPr>
        <w:t>IFRS for SMEs</w:t>
      </w:r>
      <w:r w:rsidRPr="00214121">
        <w:rPr>
          <w:rFonts w:ascii="Arial" w:hAnsi="Arial"/>
        </w:rPr>
        <w:t xml:space="preserve">, the Financial Reporting Council (FRC) </w:t>
      </w:r>
      <w:r w:rsidR="00505BB9">
        <w:rPr>
          <w:rFonts w:ascii="Arial" w:hAnsi="Arial"/>
        </w:rPr>
        <w:t>has</w:t>
      </w:r>
      <w:r w:rsidRPr="00214121">
        <w:rPr>
          <w:rFonts w:ascii="Arial" w:hAnsi="Arial"/>
        </w:rPr>
        <w:t xml:space="preserve"> modified the requirements significantly, both in terms of the scope of entities eligible to apply the standard and the accounting treatments provided.</w:t>
      </w:r>
      <w:r>
        <w:rPr>
          <w:rFonts w:ascii="Arial" w:hAnsi="Arial"/>
        </w:rPr>
        <w:t xml:space="preserve"> </w:t>
      </w:r>
      <w:r w:rsidRPr="00214121">
        <w:rPr>
          <w:rFonts w:ascii="Arial" w:hAnsi="Arial"/>
        </w:rPr>
        <w:t xml:space="preserve">A notable area where the FRC </w:t>
      </w:r>
      <w:r w:rsidR="00665B9A">
        <w:rPr>
          <w:rFonts w:ascii="Arial" w:hAnsi="Arial"/>
        </w:rPr>
        <w:t>has</w:t>
      </w:r>
      <w:r w:rsidRPr="00214121">
        <w:rPr>
          <w:rFonts w:ascii="Arial" w:hAnsi="Arial"/>
        </w:rPr>
        <w:t xml:space="preserve"> substantially modified the content of </w:t>
      </w:r>
      <w:r w:rsidRPr="00214121">
        <w:rPr>
          <w:rFonts w:ascii="Arial" w:hAnsi="Arial"/>
          <w:i/>
        </w:rPr>
        <w:t>IFRS for SMEs</w:t>
      </w:r>
      <w:r w:rsidRPr="00214121">
        <w:rPr>
          <w:rFonts w:ascii="Arial" w:hAnsi="Arial"/>
        </w:rPr>
        <w:t xml:space="preserve"> to arrive at FRS 102 is in relation to </w:t>
      </w:r>
      <w:r w:rsidR="00AB7609">
        <w:rPr>
          <w:rFonts w:ascii="Arial" w:hAnsi="Arial"/>
        </w:rPr>
        <w:t>section</w:t>
      </w:r>
      <w:r w:rsidRPr="00214121">
        <w:rPr>
          <w:rFonts w:ascii="Arial" w:hAnsi="Arial"/>
        </w:rPr>
        <w:t xml:space="preserve"> 29</w:t>
      </w:r>
      <w:r w:rsidR="007C5248">
        <w:rPr>
          <w:rFonts w:ascii="Arial" w:hAnsi="Arial"/>
        </w:rPr>
        <w:t>,</w:t>
      </w:r>
      <w:r w:rsidRPr="00214121">
        <w:rPr>
          <w:rFonts w:ascii="Arial" w:hAnsi="Arial"/>
        </w:rPr>
        <w:t xml:space="preserve"> </w:t>
      </w:r>
      <w:r w:rsidR="007C5248">
        <w:rPr>
          <w:rFonts w:ascii="Arial" w:hAnsi="Arial"/>
        </w:rPr>
        <w:t>‘</w:t>
      </w:r>
      <w:r w:rsidRPr="00214121">
        <w:rPr>
          <w:rFonts w:ascii="Arial" w:hAnsi="Arial"/>
        </w:rPr>
        <w:t>Income Tax</w:t>
      </w:r>
      <w:r w:rsidR="007C5248">
        <w:rPr>
          <w:rFonts w:ascii="Arial" w:hAnsi="Arial"/>
        </w:rPr>
        <w:t>’</w:t>
      </w:r>
      <w:r w:rsidRPr="00214121">
        <w:rPr>
          <w:rFonts w:ascii="Arial" w:hAnsi="Arial"/>
        </w:rPr>
        <w:t xml:space="preserve">; which is significantly different </w:t>
      </w:r>
      <w:r w:rsidR="00D46E39">
        <w:rPr>
          <w:rFonts w:ascii="Arial" w:hAnsi="Arial"/>
        </w:rPr>
        <w:t>from</w:t>
      </w:r>
      <w:r w:rsidRPr="00214121">
        <w:rPr>
          <w:rFonts w:ascii="Arial" w:hAnsi="Arial"/>
        </w:rPr>
        <w:t xml:space="preserve"> the equivalent </w:t>
      </w:r>
      <w:r w:rsidR="00AB7609">
        <w:rPr>
          <w:rFonts w:ascii="Arial" w:hAnsi="Arial"/>
        </w:rPr>
        <w:t>s</w:t>
      </w:r>
      <w:r w:rsidRPr="00214121">
        <w:rPr>
          <w:rFonts w:ascii="Arial" w:hAnsi="Arial"/>
        </w:rPr>
        <w:t xml:space="preserve">ection 29 in </w:t>
      </w:r>
      <w:r w:rsidRPr="00214121">
        <w:rPr>
          <w:rFonts w:ascii="Arial" w:hAnsi="Arial"/>
          <w:i/>
        </w:rPr>
        <w:t>IFRS for SMEs</w:t>
      </w:r>
      <w:r w:rsidRPr="00214121">
        <w:rPr>
          <w:rFonts w:ascii="Arial" w:hAnsi="Arial"/>
        </w:rPr>
        <w:t>.</w:t>
      </w:r>
      <w:r>
        <w:rPr>
          <w:rFonts w:ascii="Arial" w:hAnsi="Arial"/>
        </w:rPr>
        <w:t xml:space="preserve"> </w:t>
      </w:r>
    </w:p>
    <w:p w14:paraId="7A55907D" w14:textId="77777777" w:rsidR="007A52A3" w:rsidRPr="00214121" w:rsidRDefault="007A52A3" w:rsidP="00214121">
      <w:pPr>
        <w:spacing w:line="360" w:lineRule="auto"/>
        <w:rPr>
          <w:rFonts w:ascii="Arial" w:hAnsi="Arial"/>
        </w:rPr>
      </w:pPr>
    </w:p>
    <w:p w14:paraId="3F95119B" w14:textId="3A2EC632" w:rsidR="007A52A3" w:rsidRPr="00214121" w:rsidRDefault="007A52A3" w:rsidP="00214121">
      <w:pPr>
        <w:spacing w:line="360" w:lineRule="auto"/>
        <w:rPr>
          <w:rFonts w:ascii="Arial" w:hAnsi="Arial"/>
        </w:rPr>
      </w:pPr>
      <w:r w:rsidRPr="00214121">
        <w:rPr>
          <w:rFonts w:ascii="Arial" w:hAnsi="Arial"/>
        </w:rPr>
        <w:t>At the time of writing, the latest edition of FRS 102 is the September 2015 edition</w:t>
      </w:r>
      <w:r w:rsidR="007A585A">
        <w:rPr>
          <w:rFonts w:ascii="Arial" w:hAnsi="Arial"/>
        </w:rPr>
        <w:t>,</w:t>
      </w:r>
      <w:r w:rsidRPr="00214121">
        <w:rPr>
          <w:rFonts w:ascii="Arial" w:hAnsi="Arial"/>
        </w:rPr>
        <w:t xml:space="preserve"> which superseded the August 2014 edition in respect of the following:</w:t>
      </w:r>
    </w:p>
    <w:p w14:paraId="54D14D6F" w14:textId="77777777" w:rsidR="007A52A3" w:rsidRPr="00214121" w:rsidRDefault="007A52A3" w:rsidP="00214121">
      <w:pPr>
        <w:spacing w:line="360" w:lineRule="auto"/>
        <w:rPr>
          <w:rFonts w:ascii="Arial" w:hAnsi="Arial"/>
        </w:rPr>
      </w:pPr>
    </w:p>
    <w:p w14:paraId="7C948B44" w14:textId="7B40F0F5" w:rsidR="007A52A3" w:rsidRPr="00214121" w:rsidRDefault="003F1E65" w:rsidP="00214121">
      <w:pPr>
        <w:spacing w:line="360" w:lineRule="auto"/>
        <w:ind w:left="567" w:hanging="567"/>
        <w:rPr>
          <w:rFonts w:ascii="Arial" w:hAnsi="Arial"/>
        </w:rPr>
      </w:pPr>
      <w:r>
        <w:rPr>
          <w:rFonts w:ascii="Arial" w:hAnsi="Arial"/>
        </w:rPr>
        <w:t xml:space="preserve">a. </w:t>
      </w:r>
      <w:r>
        <w:rPr>
          <w:rFonts w:ascii="Arial" w:hAnsi="Arial"/>
        </w:rPr>
        <w:tab/>
      </w:r>
      <w:r w:rsidR="007A52A3" w:rsidRPr="00214121">
        <w:rPr>
          <w:rFonts w:ascii="Arial" w:hAnsi="Arial"/>
        </w:rPr>
        <w:t xml:space="preserve">an editorial amendment to </w:t>
      </w:r>
      <w:r w:rsidR="00AB7609">
        <w:rPr>
          <w:rFonts w:ascii="Arial" w:hAnsi="Arial"/>
        </w:rPr>
        <w:t>section</w:t>
      </w:r>
      <w:r w:rsidR="007A52A3" w:rsidRPr="00214121">
        <w:rPr>
          <w:rFonts w:ascii="Arial" w:hAnsi="Arial"/>
        </w:rPr>
        <w:t xml:space="preserve"> 12</w:t>
      </w:r>
      <w:r w:rsidR="007C5248">
        <w:rPr>
          <w:rFonts w:ascii="Arial" w:hAnsi="Arial"/>
        </w:rPr>
        <w:t>, ‘</w:t>
      </w:r>
      <w:r w:rsidR="007A52A3" w:rsidRPr="00214121">
        <w:rPr>
          <w:rFonts w:ascii="Arial" w:hAnsi="Arial"/>
        </w:rPr>
        <w:t>Other Financial Instruments Issues</w:t>
      </w:r>
      <w:r w:rsidR="007C5248">
        <w:rPr>
          <w:rFonts w:ascii="Arial" w:hAnsi="Arial"/>
        </w:rPr>
        <w:t>’,</w:t>
      </w:r>
      <w:r w:rsidR="007A52A3" w:rsidRPr="00214121">
        <w:rPr>
          <w:rFonts w:ascii="Arial" w:hAnsi="Arial"/>
          <w:i/>
        </w:rPr>
        <w:t xml:space="preserve"> </w:t>
      </w:r>
      <w:r w:rsidR="007A52A3" w:rsidRPr="00214121">
        <w:rPr>
          <w:rFonts w:ascii="Arial" w:hAnsi="Arial"/>
        </w:rPr>
        <w:t>in relation to the examples on hedge accounting</w:t>
      </w:r>
      <w:r w:rsidR="007C5248">
        <w:rPr>
          <w:rFonts w:ascii="Arial" w:hAnsi="Arial"/>
        </w:rPr>
        <w:t>,</w:t>
      </w:r>
      <w:r w:rsidR="007A52A3" w:rsidRPr="00214121">
        <w:rPr>
          <w:rFonts w:ascii="Arial" w:hAnsi="Arial"/>
        </w:rPr>
        <w:t xml:space="preserve"> whic</w:t>
      </w:r>
      <w:r w:rsidRPr="009D542E">
        <w:rPr>
          <w:rFonts w:ascii="Arial" w:hAnsi="Arial"/>
        </w:rPr>
        <w:t xml:space="preserve">h were issued in </w:t>
      </w:r>
      <w:r w:rsidRPr="006768F3">
        <w:rPr>
          <w:rFonts w:ascii="Arial" w:hAnsi="Arial"/>
        </w:rPr>
        <w:t>September 2014</w:t>
      </w:r>
    </w:p>
    <w:p w14:paraId="69AF97C7" w14:textId="28D236CC" w:rsidR="007A52A3" w:rsidRPr="00214121" w:rsidRDefault="003F1E65" w:rsidP="00214121">
      <w:pPr>
        <w:spacing w:line="360" w:lineRule="auto"/>
        <w:ind w:left="567" w:hanging="567"/>
        <w:rPr>
          <w:rFonts w:ascii="Arial" w:hAnsi="Arial"/>
        </w:rPr>
      </w:pPr>
      <w:r>
        <w:rPr>
          <w:rFonts w:ascii="Arial" w:hAnsi="Arial"/>
        </w:rPr>
        <w:t xml:space="preserve">b. </w:t>
      </w:r>
      <w:r>
        <w:rPr>
          <w:rFonts w:ascii="Arial" w:hAnsi="Arial"/>
        </w:rPr>
        <w:tab/>
      </w:r>
      <w:r w:rsidR="007A52A3" w:rsidRPr="00214121">
        <w:rPr>
          <w:rFonts w:ascii="Arial" w:hAnsi="Arial"/>
          <w:i/>
        </w:rPr>
        <w:t>Amendments to FRS 102 – Pension obligations</w:t>
      </w:r>
      <w:r w:rsidRPr="00214121">
        <w:rPr>
          <w:rFonts w:ascii="Arial" w:hAnsi="Arial"/>
        </w:rPr>
        <w:t xml:space="preserve">, </w:t>
      </w:r>
      <w:r w:rsidR="007A52A3" w:rsidRPr="00214121">
        <w:rPr>
          <w:rFonts w:ascii="Arial" w:hAnsi="Arial"/>
        </w:rPr>
        <w:t>wh</w:t>
      </w:r>
      <w:r w:rsidRPr="009D542E">
        <w:rPr>
          <w:rFonts w:ascii="Arial" w:hAnsi="Arial"/>
        </w:rPr>
        <w:t>ich was issued in February 2015</w:t>
      </w:r>
    </w:p>
    <w:p w14:paraId="105E92AD" w14:textId="6F699185" w:rsidR="007A52A3" w:rsidRPr="00214121" w:rsidRDefault="003F1E65" w:rsidP="00214121">
      <w:pPr>
        <w:spacing w:line="360" w:lineRule="auto"/>
        <w:ind w:left="567" w:hanging="567"/>
        <w:rPr>
          <w:rFonts w:ascii="Arial" w:hAnsi="Arial"/>
        </w:rPr>
      </w:pPr>
      <w:r>
        <w:rPr>
          <w:rFonts w:ascii="Arial" w:hAnsi="Arial"/>
        </w:rPr>
        <w:t xml:space="preserve">c. </w:t>
      </w:r>
      <w:r>
        <w:rPr>
          <w:rFonts w:ascii="Arial" w:hAnsi="Arial"/>
        </w:rPr>
        <w:tab/>
      </w:r>
      <w:r w:rsidR="007A52A3" w:rsidRPr="00214121">
        <w:rPr>
          <w:rFonts w:ascii="Arial" w:hAnsi="Arial"/>
        </w:rPr>
        <w:t>consequential amendments to FRS 102 that were included in FRS 104</w:t>
      </w:r>
      <w:r w:rsidR="007C5248">
        <w:rPr>
          <w:rFonts w:ascii="Arial" w:hAnsi="Arial"/>
        </w:rPr>
        <w:t>,</w:t>
      </w:r>
      <w:r w:rsidR="007A52A3" w:rsidRPr="00214121">
        <w:rPr>
          <w:rFonts w:ascii="Arial" w:hAnsi="Arial"/>
        </w:rPr>
        <w:t xml:space="preserve"> </w:t>
      </w:r>
      <w:r w:rsidR="007A52A3" w:rsidRPr="00214121">
        <w:rPr>
          <w:rFonts w:ascii="Arial" w:hAnsi="Arial"/>
          <w:i/>
        </w:rPr>
        <w:t>Interim Financial Reporting</w:t>
      </w:r>
      <w:r w:rsidR="007C5248" w:rsidRPr="00214121">
        <w:rPr>
          <w:rFonts w:ascii="Arial" w:hAnsi="Arial"/>
        </w:rPr>
        <w:t>,</w:t>
      </w:r>
      <w:r w:rsidR="007A52A3" w:rsidRPr="00214121">
        <w:rPr>
          <w:rFonts w:ascii="Arial" w:hAnsi="Arial"/>
          <w:i/>
        </w:rPr>
        <w:t xml:space="preserve"> </w:t>
      </w:r>
      <w:r w:rsidRPr="009D542E">
        <w:rPr>
          <w:rFonts w:ascii="Arial" w:hAnsi="Arial"/>
        </w:rPr>
        <w:t>issued in March 2015</w:t>
      </w:r>
    </w:p>
    <w:p w14:paraId="172DA11C" w14:textId="2BD7B122" w:rsidR="007A52A3" w:rsidRPr="00214121" w:rsidRDefault="003F1E65" w:rsidP="00214121">
      <w:pPr>
        <w:spacing w:line="360" w:lineRule="auto"/>
        <w:ind w:left="567" w:hanging="567"/>
        <w:rPr>
          <w:rFonts w:ascii="Arial" w:hAnsi="Arial"/>
        </w:rPr>
      </w:pPr>
      <w:r>
        <w:rPr>
          <w:rFonts w:ascii="Arial" w:hAnsi="Arial"/>
        </w:rPr>
        <w:t xml:space="preserve">d. </w:t>
      </w:r>
      <w:r>
        <w:rPr>
          <w:rFonts w:ascii="Arial" w:hAnsi="Arial"/>
        </w:rPr>
        <w:tab/>
      </w:r>
      <w:r w:rsidR="007A52A3" w:rsidRPr="00214121">
        <w:rPr>
          <w:rFonts w:ascii="Arial" w:hAnsi="Arial"/>
        </w:rPr>
        <w:t xml:space="preserve">inclusion of </w:t>
      </w:r>
      <w:r w:rsidR="00AB7609">
        <w:rPr>
          <w:rFonts w:ascii="Arial" w:hAnsi="Arial"/>
        </w:rPr>
        <w:t>section</w:t>
      </w:r>
      <w:r w:rsidR="007A52A3" w:rsidRPr="00214121">
        <w:rPr>
          <w:rFonts w:ascii="Arial" w:hAnsi="Arial"/>
        </w:rPr>
        <w:t xml:space="preserve"> 1A</w:t>
      </w:r>
      <w:r w:rsidR="007C5248">
        <w:rPr>
          <w:rFonts w:ascii="Arial" w:hAnsi="Arial"/>
        </w:rPr>
        <w:t>,</w:t>
      </w:r>
      <w:r w:rsidR="007A52A3" w:rsidRPr="00214121">
        <w:rPr>
          <w:rFonts w:ascii="Arial" w:hAnsi="Arial"/>
        </w:rPr>
        <w:t xml:space="preserve"> </w:t>
      </w:r>
      <w:r w:rsidR="007C5248">
        <w:rPr>
          <w:rFonts w:ascii="Arial" w:hAnsi="Arial"/>
        </w:rPr>
        <w:t>‘</w:t>
      </w:r>
      <w:r w:rsidR="007A52A3" w:rsidRPr="00214121">
        <w:rPr>
          <w:rFonts w:ascii="Arial" w:hAnsi="Arial"/>
        </w:rPr>
        <w:t>Small Entities</w:t>
      </w:r>
      <w:r w:rsidR="007C5248">
        <w:rPr>
          <w:rFonts w:ascii="Arial" w:hAnsi="Arial"/>
        </w:rPr>
        <w:t>’,</w:t>
      </w:r>
      <w:r w:rsidR="007A52A3" w:rsidRPr="00214121">
        <w:rPr>
          <w:rFonts w:ascii="Arial" w:hAnsi="Arial"/>
          <w:i/>
        </w:rPr>
        <w:t xml:space="preserve"> </w:t>
      </w:r>
      <w:r w:rsidR="007A52A3" w:rsidRPr="00214121">
        <w:rPr>
          <w:rFonts w:ascii="Arial" w:hAnsi="Arial"/>
        </w:rPr>
        <w:t>and other minor amendments</w:t>
      </w:r>
    </w:p>
    <w:p w14:paraId="4C8A73BB" w14:textId="252D1499" w:rsidR="007A52A3" w:rsidRPr="00214121" w:rsidRDefault="003F1E65" w:rsidP="00214121">
      <w:pPr>
        <w:spacing w:line="360" w:lineRule="auto"/>
        <w:ind w:left="567" w:hanging="567"/>
        <w:rPr>
          <w:rFonts w:ascii="Arial" w:hAnsi="Arial"/>
        </w:rPr>
      </w:pPr>
      <w:r>
        <w:rPr>
          <w:rFonts w:ascii="Arial" w:hAnsi="Arial"/>
        </w:rPr>
        <w:t xml:space="preserve">e. </w:t>
      </w:r>
      <w:r>
        <w:rPr>
          <w:rFonts w:ascii="Arial" w:hAnsi="Arial"/>
        </w:rPr>
        <w:tab/>
      </w:r>
      <w:r w:rsidR="007A52A3" w:rsidRPr="00214121">
        <w:rPr>
          <w:rFonts w:ascii="Arial" w:hAnsi="Arial"/>
        </w:rPr>
        <w:t>some minor typographical or presentational corrections.</w:t>
      </w:r>
    </w:p>
    <w:p w14:paraId="7686AE7D" w14:textId="77777777" w:rsidR="007A52A3" w:rsidRPr="00214121" w:rsidRDefault="007A52A3" w:rsidP="00214121">
      <w:pPr>
        <w:spacing w:line="360" w:lineRule="auto"/>
        <w:rPr>
          <w:rFonts w:ascii="Arial" w:hAnsi="Arial"/>
        </w:rPr>
      </w:pPr>
    </w:p>
    <w:p w14:paraId="27E0DE48" w14:textId="4C69D36A" w:rsidR="007A52A3" w:rsidRPr="00214121" w:rsidRDefault="007A52A3" w:rsidP="00214121">
      <w:pPr>
        <w:spacing w:line="360" w:lineRule="auto"/>
        <w:rPr>
          <w:rFonts w:ascii="Arial" w:hAnsi="Arial"/>
        </w:rPr>
      </w:pPr>
      <w:r w:rsidRPr="00214121">
        <w:rPr>
          <w:rFonts w:ascii="Arial" w:hAnsi="Arial"/>
        </w:rPr>
        <w:t xml:space="preserve">FRS 102 is divided into </w:t>
      </w:r>
      <w:r w:rsidR="007C5248">
        <w:rPr>
          <w:rFonts w:ascii="Arial" w:hAnsi="Arial"/>
        </w:rPr>
        <w:t>s</w:t>
      </w:r>
      <w:r w:rsidRPr="00214121">
        <w:rPr>
          <w:rFonts w:ascii="Arial" w:hAnsi="Arial"/>
        </w:rPr>
        <w:t>ection</w:t>
      </w:r>
      <w:r w:rsidR="007C5248">
        <w:rPr>
          <w:rFonts w:ascii="Arial" w:hAnsi="Arial"/>
        </w:rPr>
        <w:t>s,</w:t>
      </w:r>
      <w:r w:rsidRPr="00214121">
        <w:rPr>
          <w:rFonts w:ascii="Arial" w:hAnsi="Arial"/>
        </w:rPr>
        <w:t xml:space="preserve"> and each </w:t>
      </w:r>
      <w:r w:rsidR="007C5248">
        <w:rPr>
          <w:rFonts w:ascii="Arial" w:hAnsi="Arial"/>
        </w:rPr>
        <w:t xml:space="preserve">section </w:t>
      </w:r>
      <w:r w:rsidRPr="00214121">
        <w:rPr>
          <w:rFonts w:ascii="Arial" w:hAnsi="Arial"/>
        </w:rPr>
        <w:t>is organised by topic area.</w:t>
      </w:r>
      <w:r>
        <w:rPr>
          <w:rFonts w:ascii="Arial" w:hAnsi="Arial"/>
        </w:rPr>
        <w:t xml:space="preserve"> </w:t>
      </w:r>
      <w:r w:rsidRPr="00214121">
        <w:rPr>
          <w:rFonts w:ascii="Arial" w:hAnsi="Arial"/>
        </w:rPr>
        <w:t>Cross-references to paragraphs within the standard are identified by section followed by paragraph number.</w:t>
      </w:r>
      <w:r>
        <w:rPr>
          <w:rFonts w:ascii="Arial" w:hAnsi="Arial"/>
        </w:rPr>
        <w:t xml:space="preserve"> </w:t>
      </w:r>
      <w:r w:rsidRPr="00214121">
        <w:rPr>
          <w:rFonts w:ascii="Arial" w:hAnsi="Arial"/>
        </w:rPr>
        <w:t>Paragraph numbers are in the form of ‘xx.yy’, where ‘xx’ is the relevant section number and ‘yy’ is the sequential paragraph number within that section.</w:t>
      </w:r>
      <w:r>
        <w:rPr>
          <w:rFonts w:ascii="Arial" w:hAnsi="Arial"/>
        </w:rPr>
        <w:t xml:space="preserve"> </w:t>
      </w:r>
      <w:r w:rsidRPr="00214121">
        <w:rPr>
          <w:rFonts w:ascii="Arial" w:hAnsi="Arial"/>
        </w:rPr>
        <w:lastRenderedPageBreak/>
        <w:t>Paragraphs which apply only to ‘public benefit entities’ are preceded by ‘PBE’.</w:t>
      </w:r>
      <w:r>
        <w:rPr>
          <w:rFonts w:ascii="Arial" w:hAnsi="Arial"/>
        </w:rPr>
        <w:t xml:space="preserve"> </w:t>
      </w:r>
      <w:r w:rsidRPr="00214121">
        <w:rPr>
          <w:rFonts w:ascii="Arial" w:hAnsi="Arial"/>
        </w:rPr>
        <w:t>Where FRS 102 provides examples of how certain principles are applied in the context of the standard which include monetary amounts, the measuring unit is the ‘</w:t>
      </w:r>
      <w:r w:rsidR="00400E28">
        <w:rPr>
          <w:rFonts w:ascii="Arial" w:hAnsi="Arial"/>
        </w:rPr>
        <w:t>c</w:t>
      </w:r>
      <w:r w:rsidRPr="00214121">
        <w:rPr>
          <w:rFonts w:ascii="Arial" w:hAnsi="Arial"/>
        </w:rPr>
        <w:t xml:space="preserve">urrency </w:t>
      </w:r>
      <w:r w:rsidR="00400E28">
        <w:rPr>
          <w:rFonts w:ascii="Arial" w:hAnsi="Arial"/>
        </w:rPr>
        <w:t>u</w:t>
      </w:r>
      <w:r w:rsidRPr="00214121">
        <w:rPr>
          <w:rFonts w:ascii="Arial" w:hAnsi="Arial"/>
        </w:rPr>
        <w:t>nit’ (CU).</w:t>
      </w:r>
    </w:p>
    <w:p w14:paraId="4B428891" w14:textId="77777777" w:rsidR="00400E28" w:rsidRDefault="00400E28" w:rsidP="00214121">
      <w:pPr>
        <w:pStyle w:val="Heading1"/>
        <w:spacing w:line="360" w:lineRule="auto"/>
        <w:rPr>
          <w:rFonts w:ascii="Arial" w:hAnsi="Arial"/>
        </w:rPr>
      </w:pPr>
    </w:p>
    <w:p w14:paraId="6A025238" w14:textId="066AA8B8" w:rsidR="007A52A3" w:rsidRPr="00214121" w:rsidRDefault="007A52A3" w:rsidP="00214121">
      <w:pPr>
        <w:pStyle w:val="Heading1"/>
        <w:spacing w:line="360" w:lineRule="auto"/>
        <w:rPr>
          <w:rFonts w:ascii="Arial" w:hAnsi="Arial"/>
          <w:caps/>
        </w:rPr>
      </w:pPr>
      <w:r w:rsidRPr="00214121">
        <w:rPr>
          <w:rFonts w:ascii="Arial" w:hAnsi="Arial"/>
          <w:caps/>
        </w:rPr>
        <w:t xml:space="preserve">Standards in issue and withdrawal of the </w:t>
      </w:r>
      <w:r w:rsidRPr="00214121">
        <w:rPr>
          <w:rFonts w:ascii="Arial" w:hAnsi="Arial"/>
          <w:i/>
          <w:caps/>
        </w:rPr>
        <w:t>FRSSE</w:t>
      </w:r>
      <w:r w:rsidRPr="00214121">
        <w:rPr>
          <w:rFonts w:ascii="Arial" w:hAnsi="Arial"/>
          <w:caps/>
        </w:rPr>
        <w:t xml:space="preserve"> </w:t>
      </w:r>
    </w:p>
    <w:p w14:paraId="7619313E" w14:textId="1A75CCF5" w:rsidR="007A52A3" w:rsidRPr="00214121" w:rsidRDefault="007A52A3" w:rsidP="00214121">
      <w:pPr>
        <w:spacing w:line="360" w:lineRule="auto"/>
        <w:rPr>
          <w:rFonts w:ascii="Arial" w:hAnsi="Arial"/>
        </w:rPr>
      </w:pPr>
      <w:r w:rsidRPr="00214121">
        <w:rPr>
          <w:rFonts w:ascii="Arial" w:hAnsi="Arial"/>
        </w:rPr>
        <w:t>FRS 102 is part of a suite of standards that form ‘new UK GAAP’.</w:t>
      </w:r>
      <w:r>
        <w:rPr>
          <w:rFonts w:ascii="Arial" w:hAnsi="Arial"/>
        </w:rPr>
        <w:t xml:space="preserve"> </w:t>
      </w:r>
      <w:r w:rsidRPr="00214121">
        <w:rPr>
          <w:rFonts w:ascii="Arial" w:hAnsi="Arial"/>
        </w:rPr>
        <w:t>The standards are listed below, together with the dates of the latest editions in issue at the time of writing this Technical Factsheet:</w:t>
      </w:r>
    </w:p>
    <w:p w14:paraId="3F82FDE0" w14:textId="77777777" w:rsidR="007A52A3" w:rsidRPr="00214121" w:rsidRDefault="007A52A3" w:rsidP="00214121">
      <w:pPr>
        <w:spacing w:line="360" w:lineRule="auto"/>
        <w:rPr>
          <w:rFonts w:ascii="Arial" w:hAnsi="Arial"/>
        </w:rPr>
      </w:pPr>
    </w:p>
    <w:p w14:paraId="3A3EC7A1" w14:textId="77777777" w:rsidR="00B9592E" w:rsidRPr="004A23CB" w:rsidRDefault="009F0192" w:rsidP="00B9592E">
      <w:pPr>
        <w:spacing w:line="360" w:lineRule="auto"/>
        <w:rPr>
          <w:rFonts w:ascii="Arial" w:hAnsi="Arial" w:cs="Arial"/>
        </w:rPr>
      </w:pPr>
      <w:hyperlink r:id="rId11" w:history="1">
        <w:r w:rsidR="00B9592E" w:rsidRPr="004A23CB">
          <w:rPr>
            <w:rStyle w:val="Hyperlink"/>
            <w:rFonts w:ascii="Arial" w:hAnsi="Arial" w:cs="Arial"/>
            <w:u w:val="none"/>
          </w:rPr>
          <w:t xml:space="preserve">FRS 100, </w:t>
        </w:r>
        <w:r w:rsidR="00B9592E" w:rsidRPr="00C9288A">
          <w:rPr>
            <w:rStyle w:val="Hyperlink"/>
            <w:rFonts w:ascii="Arial" w:hAnsi="Arial" w:cs="Arial"/>
            <w:i/>
            <w:u w:val="none"/>
          </w:rPr>
          <w:t>Application of Financial Reporting Requirements</w:t>
        </w:r>
      </w:hyperlink>
      <w:r w:rsidR="00B9592E" w:rsidRPr="004A23CB">
        <w:rPr>
          <w:rFonts w:ascii="Arial" w:hAnsi="Arial" w:cs="Arial"/>
          <w:i/>
        </w:rPr>
        <w:t xml:space="preserve"> </w:t>
      </w:r>
      <w:r w:rsidR="00B9592E" w:rsidRPr="004A23CB">
        <w:rPr>
          <w:rFonts w:ascii="Arial" w:hAnsi="Arial" w:cs="Arial"/>
        </w:rPr>
        <w:t>(September 2015)</w:t>
      </w:r>
    </w:p>
    <w:p w14:paraId="157D3080" w14:textId="77777777" w:rsidR="00B9592E" w:rsidRPr="004A23CB" w:rsidRDefault="009F0192" w:rsidP="00B9592E">
      <w:pPr>
        <w:spacing w:line="360" w:lineRule="auto"/>
        <w:rPr>
          <w:rFonts w:ascii="Arial" w:hAnsi="Arial" w:cs="Arial"/>
        </w:rPr>
      </w:pPr>
      <w:hyperlink r:id="rId12" w:history="1">
        <w:r w:rsidR="00B9592E" w:rsidRPr="004A23CB">
          <w:rPr>
            <w:rStyle w:val="Hyperlink"/>
            <w:rFonts w:ascii="Arial" w:hAnsi="Arial" w:cs="Arial"/>
            <w:u w:val="none"/>
          </w:rPr>
          <w:t xml:space="preserve">FRS 101, </w:t>
        </w:r>
        <w:r w:rsidR="00B9592E" w:rsidRPr="00C9288A">
          <w:rPr>
            <w:rStyle w:val="Hyperlink"/>
            <w:rFonts w:ascii="Arial" w:hAnsi="Arial" w:cs="Arial"/>
            <w:i/>
            <w:u w:val="none"/>
          </w:rPr>
          <w:t>Reduced Disclosure Framework</w:t>
        </w:r>
      </w:hyperlink>
      <w:r w:rsidR="00B9592E" w:rsidRPr="004A23CB">
        <w:rPr>
          <w:rFonts w:ascii="Arial" w:hAnsi="Arial" w:cs="Arial"/>
        </w:rPr>
        <w:t xml:space="preserve"> (September 2015)</w:t>
      </w:r>
    </w:p>
    <w:p w14:paraId="7EBA5D23" w14:textId="77777777" w:rsidR="00B9592E" w:rsidRPr="004A23CB" w:rsidRDefault="009F0192" w:rsidP="00B9592E">
      <w:pPr>
        <w:spacing w:line="360" w:lineRule="auto"/>
        <w:rPr>
          <w:rFonts w:ascii="Arial" w:hAnsi="Arial" w:cs="Arial"/>
        </w:rPr>
      </w:pPr>
      <w:hyperlink r:id="rId13" w:history="1">
        <w:r w:rsidR="00B9592E" w:rsidRPr="00C9288A">
          <w:rPr>
            <w:rStyle w:val="Hyperlink"/>
            <w:rFonts w:ascii="Arial" w:hAnsi="Arial" w:cs="Arial"/>
            <w:i/>
            <w:u w:val="none"/>
          </w:rPr>
          <w:t>FRS 102, The Financial Reporting Standard applicable in the UK and Republic of Ireland</w:t>
        </w:r>
      </w:hyperlink>
      <w:r w:rsidR="00B9592E" w:rsidRPr="004A23CB">
        <w:rPr>
          <w:rFonts w:ascii="Arial" w:hAnsi="Arial" w:cs="Arial"/>
        </w:rPr>
        <w:t xml:space="preserve"> (September 2015)</w:t>
      </w:r>
    </w:p>
    <w:p w14:paraId="4E940239" w14:textId="77777777" w:rsidR="00B9592E" w:rsidRPr="004A23CB" w:rsidRDefault="009F0192" w:rsidP="00B9592E">
      <w:pPr>
        <w:spacing w:line="360" w:lineRule="auto"/>
        <w:rPr>
          <w:rFonts w:ascii="Arial" w:hAnsi="Arial" w:cs="Arial"/>
        </w:rPr>
      </w:pPr>
      <w:hyperlink r:id="rId14" w:history="1">
        <w:r w:rsidR="00B9592E" w:rsidRPr="004A23CB">
          <w:rPr>
            <w:rStyle w:val="Hyperlink"/>
            <w:rFonts w:ascii="Arial" w:hAnsi="Arial" w:cs="Arial"/>
            <w:u w:val="none"/>
          </w:rPr>
          <w:t xml:space="preserve">FRS 103, </w:t>
        </w:r>
        <w:r w:rsidR="00B9592E" w:rsidRPr="00C9288A">
          <w:rPr>
            <w:rStyle w:val="Hyperlink"/>
            <w:rFonts w:ascii="Arial" w:hAnsi="Arial" w:cs="Arial"/>
            <w:i/>
            <w:u w:val="none"/>
          </w:rPr>
          <w:t>Insurance Contracts</w:t>
        </w:r>
      </w:hyperlink>
      <w:r w:rsidR="00B9592E" w:rsidRPr="004A23CB">
        <w:rPr>
          <w:rFonts w:ascii="Arial" w:hAnsi="Arial" w:cs="Arial"/>
        </w:rPr>
        <w:t xml:space="preserve"> (March 2014) </w:t>
      </w:r>
    </w:p>
    <w:p w14:paraId="1F261DF3" w14:textId="77777777" w:rsidR="00B9592E" w:rsidRPr="004A23CB" w:rsidRDefault="009F0192" w:rsidP="00B9592E">
      <w:pPr>
        <w:spacing w:line="360" w:lineRule="auto"/>
        <w:rPr>
          <w:rFonts w:ascii="Arial" w:hAnsi="Arial" w:cs="Arial"/>
        </w:rPr>
      </w:pPr>
      <w:hyperlink r:id="rId15" w:history="1">
        <w:r w:rsidR="00B9592E" w:rsidRPr="004A23CB">
          <w:rPr>
            <w:rStyle w:val="Hyperlink"/>
            <w:rFonts w:ascii="Arial" w:hAnsi="Arial" w:cs="Arial"/>
            <w:u w:val="none"/>
          </w:rPr>
          <w:t xml:space="preserve">Amendments to FRS 103, </w:t>
        </w:r>
        <w:r w:rsidR="00B9592E" w:rsidRPr="00C9288A">
          <w:rPr>
            <w:rStyle w:val="Hyperlink"/>
            <w:rFonts w:ascii="Arial" w:hAnsi="Arial" w:cs="Arial"/>
            <w:i/>
            <w:u w:val="none"/>
          </w:rPr>
          <w:t>Insurance Contracts</w:t>
        </w:r>
        <w:r w:rsidR="00B9592E" w:rsidRPr="004A23CB">
          <w:rPr>
            <w:rStyle w:val="Hyperlink"/>
            <w:rFonts w:ascii="Arial" w:hAnsi="Arial" w:cs="Arial"/>
            <w:u w:val="none"/>
          </w:rPr>
          <w:t xml:space="preserve"> – Solvency II</w:t>
        </w:r>
      </w:hyperlink>
      <w:r w:rsidR="00B9592E" w:rsidRPr="004A23CB">
        <w:rPr>
          <w:rFonts w:ascii="Arial" w:hAnsi="Arial" w:cs="Arial"/>
        </w:rPr>
        <w:t xml:space="preserve"> (May 2016)</w:t>
      </w:r>
    </w:p>
    <w:p w14:paraId="1457B392" w14:textId="77777777" w:rsidR="00B9592E" w:rsidRPr="004A23CB" w:rsidRDefault="009F0192" w:rsidP="00B9592E">
      <w:pPr>
        <w:spacing w:line="360" w:lineRule="auto"/>
        <w:rPr>
          <w:rFonts w:ascii="Arial" w:hAnsi="Arial" w:cs="Arial"/>
        </w:rPr>
      </w:pPr>
      <w:hyperlink r:id="rId16" w:history="1">
        <w:r w:rsidR="00B9592E" w:rsidRPr="004A23CB">
          <w:rPr>
            <w:rStyle w:val="Hyperlink"/>
            <w:rFonts w:ascii="Arial" w:hAnsi="Arial" w:cs="Arial"/>
            <w:u w:val="none"/>
          </w:rPr>
          <w:t xml:space="preserve">FRS 104, </w:t>
        </w:r>
        <w:r w:rsidR="00B9592E" w:rsidRPr="00C9288A">
          <w:rPr>
            <w:rStyle w:val="Hyperlink"/>
            <w:rFonts w:ascii="Arial" w:hAnsi="Arial" w:cs="Arial"/>
            <w:i/>
            <w:u w:val="none"/>
          </w:rPr>
          <w:t>Interim Financial Reporting</w:t>
        </w:r>
      </w:hyperlink>
      <w:r w:rsidR="00B9592E" w:rsidRPr="004A23CB">
        <w:rPr>
          <w:rFonts w:ascii="Arial" w:hAnsi="Arial" w:cs="Arial"/>
        </w:rPr>
        <w:t xml:space="preserve"> (March 2015)</w:t>
      </w:r>
    </w:p>
    <w:p w14:paraId="039095AD" w14:textId="77777777" w:rsidR="00B9592E" w:rsidRPr="004A23CB" w:rsidRDefault="009F0192" w:rsidP="00B9592E">
      <w:pPr>
        <w:spacing w:line="360" w:lineRule="auto"/>
        <w:rPr>
          <w:rFonts w:ascii="Arial" w:hAnsi="Arial" w:cs="Arial"/>
        </w:rPr>
      </w:pPr>
      <w:hyperlink r:id="rId17" w:history="1">
        <w:r w:rsidR="00B9592E" w:rsidRPr="004A23CB">
          <w:rPr>
            <w:rStyle w:val="Hyperlink"/>
            <w:rFonts w:ascii="Arial" w:hAnsi="Arial" w:cs="Arial"/>
            <w:u w:val="none"/>
          </w:rPr>
          <w:t xml:space="preserve">FRS 105, </w:t>
        </w:r>
        <w:r w:rsidR="00B9592E" w:rsidRPr="00C9288A">
          <w:rPr>
            <w:rStyle w:val="Hyperlink"/>
            <w:rFonts w:ascii="Arial" w:hAnsi="Arial" w:cs="Arial"/>
            <w:i/>
            <w:u w:val="none"/>
          </w:rPr>
          <w:t>The Financial Reporting Standard applicable to the Micro-entities Regime</w:t>
        </w:r>
      </w:hyperlink>
      <w:r w:rsidR="00B9592E" w:rsidRPr="004A23CB">
        <w:rPr>
          <w:rFonts w:ascii="Arial" w:hAnsi="Arial" w:cs="Arial"/>
        </w:rPr>
        <w:t xml:space="preserve"> (July 2015) </w:t>
      </w:r>
    </w:p>
    <w:p w14:paraId="5CCAB2B6" w14:textId="77777777" w:rsidR="00B9592E" w:rsidRPr="004A23CB" w:rsidRDefault="009F0192" w:rsidP="00B9592E">
      <w:pPr>
        <w:spacing w:line="360" w:lineRule="auto"/>
        <w:rPr>
          <w:rFonts w:ascii="Arial" w:hAnsi="Arial" w:cs="Arial"/>
        </w:rPr>
      </w:pPr>
      <w:hyperlink r:id="rId18" w:history="1">
        <w:r w:rsidR="00B9592E" w:rsidRPr="004A23CB">
          <w:rPr>
            <w:rStyle w:val="Hyperlink"/>
            <w:rFonts w:ascii="Arial" w:hAnsi="Arial" w:cs="Arial"/>
            <w:u w:val="none"/>
          </w:rPr>
          <w:t xml:space="preserve">Amendments to FRS 105, </w:t>
        </w:r>
        <w:r w:rsidR="00B9592E" w:rsidRPr="00C9288A">
          <w:rPr>
            <w:rStyle w:val="Hyperlink"/>
            <w:rFonts w:ascii="Arial" w:hAnsi="Arial" w:cs="Arial"/>
            <w:i/>
            <w:u w:val="none"/>
          </w:rPr>
          <w:t>Limited Liability Partnerships and Qualifying Partnerships</w:t>
        </w:r>
      </w:hyperlink>
      <w:r w:rsidR="00B9592E" w:rsidRPr="004A23CB">
        <w:rPr>
          <w:rFonts w:ascii="Arial" w:hAnsi="Arial" w:cs="Arial"/>
        </w:rPr>
        <w:t xml:space="preserve"> (May 2016)</w:t>
      </w:r>
    </w:p>
    <w:p w14:paraId="1F389614" w14:textId="77777777" w:rsidR="007A52A3" w:rsidRPr="00214121" w:rsidRDefault="007A52A3" w:rsidP="00214121">
      <w:pPr>
        <w:spacing w:line="360" w:lineRule="auto"/>
        <w:ind w:left="1440" w:hanging="1440"/>
        <w:rPr>
          <w:rFonts w:ascii="Arial" w:hAnsi="Arial"/>
        </w:rPr>
      </w:pPr>
    </w:p>
    <w:p w14:paraId="58E239F5" w14:textId="0E163A73" w:rsidR="007A52A3" w:rsidRPr="009F0192" w:rsidRDefault="007A52A3" w:rsidP="00214121">
      <w:pPr>
        <w:spacing w:line="360" w:lineRule="auto"/>
        <w:rPr>
          <w:rFonts w:ascii="Arial" w:hAnsi="Arial"/>
        </w:rPr>
      </w:pPr>
      <w:r w:rsidRPr="00BF62EF">
        <w:rPr>
          <w:rFonts w:ascii="Arial" w:hAnsi="Arial"/>
        </w:rPr>
        <w:t>The</w:t>
      </w:r>
      <w:r w:rsidRPr="00BF62EF">
        <w:rPr>
          <w:rFonts w:ascii="Arial" w:hAnsi="Arial"/>
          <w:i/>
        </w:rPr>
        <w:t xml:space="preserve"> </w:t>
      </w:r>
      <w:hyperlink r:id="rId19" w:history="1">
        <w:r w:rsidRPr="009F0192">
          <w:rPr>
            <w:rStyle w:val="Hyperlink"/>
            <w:rFonts w:ascii="Arial" w:hAnsi="Arial"/>
            <w:i/>
          </w:rPr>
          <w:t>FRSSE</w:t>
        </w:r>
      </w:hyperlink>
      <w:r w:rsidRPr="009F0192">
        <w:rPr>
          <w:rFonts w:ascii="Arial" w:hAnsi="Arial"/>
        </w:rPr>
        <w:t xml:space="preserve"> (effective January 2015) is withdrawn in its entirety for accounting periods starting on or after 1 January 2016. The </w:t>
      </w:r>
      <w:r w:rsidR="00C63397" w:rsidRPr="009F0192">
        <w:rPr>
          <w:rFonts w:ascii="Arial" w:hAnsi="Arial"/>
        </w:rPr>
        <w:t>FRC</w:t>
      </w:r>
      <w:r w:rsidRPr="009F0192">
        <w:rPr>
          <w:rFonts w:ascii="Arial" w:hAnsi="Arial"/>
        </w:rPr>
        <w:t xml:space="preserve"> came to the conclusion that the </w:t>
      </w:r>
      <w:r w:rsidRPr="009F0192">
        <w:rPr>
          <w:rFonts w:ascii="Arial" w:hAnsi="Arial"/>
          <w:i/>
        </w:rPr>
        <w:t>FRSSE</w:t>
      </w:r>
      <w:r w:rsidRPr="009F0192">
        <w:rPr>
          <w:rFonts w:ascii="Arial" w:hAnsi="Arial"/>
        </w:rPr>
        <w:t xml:space="preserve"> is unsustainable in its current form because it requires more disclosures than is permitted by the </w:t>
      </w:r>
      <w:r w:rsidR="00093639" w:rsidRPr="009F0192">
        <w:rPr>
          <w:rFonts w:ascii="Arial" w:hAnsi="Arial"/>
        </w:rPr>
        <w:t>EU Accounting D</w:t>
      </w:r>
      <w:r w:rsidRPr="009F0192">
        <w:rPr>
          <w:rFonts w:ascii="Arial" w:hAnsi="Arial"/>
        </w:rPr>
        <w:t>irective</w:t>
      </w:r>
      <w:r w:rsidR="00093639" w:rsidRPr="009F0192">
        <w:rPr>
          <w:rFonts w:ascii="Arial" w:hAnsi="Arial"/>
        </w:rPr>
        <w:t xml:space="preserve"> (‘the directive’)</w:t>
      </w:r>
      <w:r w:rsidRPr="009F0192">
        <w:rPr>
          <w:rFonts w:ascii="Arial" w:hAnsi="Arial"/>
        </w:rPr>
        <w:t xml:space="preserve">. As noted above, small companies will be moved under the scope of FRS 102 but with reduced disclosure requirements. </w:t>
      </w:r>
    </w:p>
    <w:p w14:paraId="2B83D6F1" w14:textId="77777777" w:rsidR="003B433D" w:rsidRPr="009F0192" w:rsidRDefault="003B433D" w:rsidP="00214121">
      <w:pPr>
        <w:pStyle w:val="Heading1"/>
        <w:spacing w:line="360" w:lineRule="auto"/>
        <w:rPr>
          <w:rFonts w:ascii="Arial" w:hAnsi="Arial"/>
        </w:rPr>
      </w:pPr>
    </w:p>
    <w:p w14:paraId="79D661CA" w14:textId="77777777" w:rsidR="007A52A3" w:rsidRPr="009F0192" w:rsidRDefault="007A52A3" w:rsidP="00214121">
      <w:pPr>
        <w:pStyle w:val="Heading1"/>
        <w:spacing w:line="360" w:lineRule="auto"/>
        <w:rPr>
          <w:rFonts w:ascii="Arial" w:hAnsi="Arial"/>
          <w:caps/>
        </w:rPr>
      </w:pPr>
      <w:r w:rsidRPr="009F0192">
        <w:rPr>
          <w:rFonts w:ascii="Arial" w:hAnsi="Arial"/>
          <w:caps/>
        </w:rPr>
        <w:t>Amendments to the Companies Act 2006 (SI 2015/980)</w:t>
      </w:r>
    </w:p>
    <w:p w14:paraId="316224C3" w14:textId="007FA24B" w:rsidR="007A52A3" w:rsidRPr="00214121" w:rsidRDefault="007A52A3" w:rsidP="00214121">
      <w:pPr>
        <w:spacing w:line="360" w:lineRule="auto"/>
        <w:rPr>
          <w:rFonts w:ascii="Arial" w:hAnsi="Arial"/>
        </w:rPr>
      </w:pPr>
      <w:r w:rsidRPr="009F0192">
        <w:rPr>
          <w:rFonts w:ascii="Arial" w:hAnsi="Arial"/>
        </w:rPr>
        <w:t xml:space="preserve">On 26 March 2015, </w:t>
      </w:r>
      <w:hyperlink r:id="rId20" w:history="1">
        <w:r w:rsidRPr="009F0192">
          <w:rPr>
            <w:rStyle w:val="Hyperlink"/>
            <w:rFonts w:ascii="Arial" w:hAnsi="Arial"/>
          </w:rPr>
          <w:t>Statutory Instrument (SI) 2015/980</w:t>
        </w:r>
      </w:hyperlink>
      <w:r w:rsidRPr="009F0192">
        <w:rPr>
          <w:rFonts w:ascii="Arial" w:hAnsi="Arial"/>
        </w:rPr>
        <w:t xml:space="preserve"> received Royal Assent and became effective on 6 April 2015</w:t>
      </w:r>
      <w:r w:rsidR="00A37291" w:rsidRPr="009F0192">
        <w:rPr>
          <w:rFonts w:ascii="Arial" w:hAnsi="Arial"/>
        </w:rPr>
        <w:t>.</w:t>
      </w:r>
      <w:r w:rsidRPr="009F0192">
        <w:rPr>
          <w:rFonts w:ascii="Arial" w:hAnsi="Arial"/>
        </w:rPr>
        <w:t xml:space="preserve"> </w:t>
      </w:r>
      <w:r w:rsidR="00A37291" w:rsidRPr="009F0192">
        <w:rPr>
          <w:rFonts w:ascii="Arial" w:hAnsi="Arial"/>
        </w:rPr>
        <w:t>It</w:t>
      </w:r>
      <w:r w:rsidRPr="009F0192">
        <w:rPr>
          <w:rFonts w:ascii="Arial" w:hAnsi="Arial"/>
        </w:rPr>
        <w:t xml:space="preserve"> will apply to accounting periods starting on or after 1 January 2016 (with early adoption permitted – see below). SI 2015/980 implements the provisions of the EU Accounting Directive (the </w:t>
      </w:r>
      <w:r w:rsidR="00093639" w:rsidRPr="009F0192">
        <w:rPr>
          <w:rFonts w:ascii="Arial" w:hAnsi="Arial"/>
        </w:rPr>
        <w:t>d</w:t>
      </w:r>
      <w:r w:rsidRPr="009F0192">
        <w:rPr>
          <w:rFonts w:ascii="Arial" w:hAnsi="Arial"/>
        </w:rPr>
        <w:t>irective) into</w:t>
      </w:r>
      <w:r w:rsidRPr="00214121">
        <w:rPr>
          <w:rFonts w:ascii="Arial" w:hAnsi="Arial"/>
        </w:rPr>
        <w:t xml:space="preserve"> company law.</w:t>
      </w:r>
      <w:r>
        <w:rPr>
          <w:rFonts w:ascii="Arial" w:hAnsi="Arial"/>
        </w:rPr>
        <w:t xml:space="preserve"> </w:t>
      </w:r>
      <w:r w:rsidRPr="00214121">
        <w:rPr>
          <w:rFonts w:ascii="Arial" w:hAnsi="Arial"/>
        </w:rPr>
        <w:t xml:space="preserve">The </w:t>
      </w:r>
      <w:r w:rsidR="00A667E5">
        <w:rPr>
          <w:rFonts w:ascii="Arial" w:hAnsi="Arial"/>
        </w:rPr>
        <w:t>d</w:t>
      </w:r>
      <w:r w:rsidRPr="00214121">
        <w:rPr>
          <w:rFonts w:ascii="Arial" w:hAnsi="Arial"/>
        </w:rPr>
        <w:t xml:space="preserve">irective was issued in June 2013 and </w:t>
      </w:r>
      <w:r w:rsidR="0068345E">
        <w:rPr>
          <w:rFonts w:ascii="Arial" w:hAnsi="Arial"/>
        </w:rPr>
        <w:t>m</w:t>
      </w:r>
      <w:r w:rsidRPr="00214121">
        <w:rPr>
          <w:rFonts w:ascii="Arial" w:hAnsi="Arial"/>
        </w:rPr>
        <w:t xml:space="preserve">ember </w:t>
      </w:r>
      <w:r w:rsidR="0068345E">
        <w:rPr>
          <w:rFonts w:ascii="Arial" w:hAnsi="Arial"/>
        </w:rPr>
        <w:t>s</w:t>
      </w:r>
      <w:r w:rsidRPr="00214121">
        <w:rPr>
          <w:rFonts w:ascii="Arial" w:hAnsi="Arial"/>
        </w:rPr>
        <w:t xml:space="preserve">tates were given until July 2015 in which to transpose the provisions of the </w:t>
      </w:r>
      <w:r w:rsidR="0068345E">
        <w:rPr>
          <w:rFonts w:ascii="Arial" w:hAnsi="Arial"/>
        </w:rPr>
        <w:t>d</w:t>
      </w:r>
      <w:r w:rsidRPr="00214121">
        <w:rPr>
          <w:rFonts w:ascii="Arial" w:hAnsi="Arial"/>
        </w:rPr>
        <w:t>irective into legislation.</w:t>
      </w:r>
      <w:r>
        <w:rPr>
          <w:rFonts w:ascii="Arial" w:hAnsi="Arial"/>
        </w:rPr>
        <w:t xml:space="preserve"> </w:t>
      </w:r>
    </w:p>
    <w:p w14:paraId="1D291453" w14:textId="77777777" w:rsidR="007A52A3" w:rsidRPr="00214121" w:rsidRDefault="007A52A3" w:rsidP="00214121">
      <w:pPr>
        <w:spacing w:line="360" w:lineRule="auto"/>
        <w:rPr>
          <w:rFonts w:ascii="Arial" w:hAnsi="Arial"/>
        </w:rPr>
      </w:pPr>
    </w:p>
    <w:p w14:paraId="4BFD7291" w14:textId="6BB693EE" w:rsidR="007A52A3" w:rsidRPr="00214121" w:rsidRDefault="007A52A3" w:rsidP="00214121">
      <w:pPr>
        <w:spacing w:line="360" w:lineRule="auto"/>
        <w:rPr>
          <w:rFonts w:ascii="Arial" w:hAnsi="Arial"/>
        </w:rPr>
      </w:pPr>
      <w:r w:rsidRPr="00214121">
        <w:rPr>
          <w:rFonts w:ascii="Arial" w:hAnsi="Arial"/>
        </w:rPr>
        <w:lastRenderedPageBreak/>
        <w:t xml:space="preserve">The overarching objective of the </w:t>
      </w:r>
      <w:r w:rsidR="008326D1">
        <w:rPr>
          <w:rFonts w:ascii="Arial" w:hAnsi="Arial"/>
        </w:rPr>
        <w:t>d</w:t>
      </w:r>
      <w:r w:rsidRPr="00214121">
        <w:rPr>
          <w:rFonts w:ascii="Arial" w:hAnsi="Arial"/>
        </w:rPr>
        <w:t xml:space="preserve">irective is to seek to reduce the burdens placed on small companies in terms of the disclosures </w:t>
      </w:r>
      <w:r w:rsidR="00DD1EBA">
        <w:rPr>
          <w:rFonts w:ascii="Arial" w:hAnsi="Arial"/>
        </w:rPr>
        <w:t xml:space="preserve">that </w:t>
      </w:r>
      <w:r w:rsidRPr="00214121">
        <w:rPr>
          <w:rFonts w:ascii="Arial" w:hAnsi="Arial"/>
        </w:rPr>
        <w:t>they are legally required to make in their financial statements. In addition to the reduced disclosure requirements, another notable feature of the revised Companies Act 2006 is the increase in the size thresholds which determine the size of a company.</w:t>
      </w:r>
      <w:r>
        <w:rPr>
          <w:rFonts w:ascii="Arial" w:hAnsi="Arial"/>
        </w:rPr>
        <w:t xml:space="preserve"> </w:t>
      </w:r>
      <w:r w:rsidRPr="00214121">
        <w:rPr>
          <w:rFonts w:ascii="Arial" w:hAnsi="Arial"/>
        </w:rPr>
        <w:t>The revised thresholds are set out in the table below:</w:t>
      </w:r>
    </w:p>
    <w:p w14:paraId="55210A47" w14:textId="77777777" w:rsidR="007A52A3" w:rsidRPr="00214121" w:rsidRDefault="007A52A3" w:rsidP="00214121">
      <w:pPr>
        <w:spacing w:line="360" w:lineRule="auto"/>
        <w:rPr>
          <w:rFonts w:ascii="Arial" w:hAnsi="Arial"/>
        </w:rPr>
      </w:pPr>
    </w:p>
    <w:tbl>
      <w:tblPr>
        <w:tblStyle w:val="TableGrid"/>
        <w:tblW w:w="0" w:type="auto"/>
        <w:tblLook w:val="04A0" w:firstRow="1" w:lastRow="0" w:firstColumn="1" w:lastColumn="0" w:noHBand="0" w:noVBand="1"/>
      </w:tblPr>
      <w:tblGrid>
        <w:gridCol w:w="2252"/>
        <w:gridCol w:w="2252"/>
        <w:gridCol w:w="2253"/>
        <w:gridCol w:w="2253"/>
      </w:tblGrid>
      <w:tr w:rsidR="007A52A3" w:rsidRPr="007A52A3" w14:paraId="2CCC614D" w14:textId="77777777" w:rsidTr="00214121">
        <w:trPr>
          <w:trHeight w:val="480"/>
        </w:trPr>
        <w:tc>
          <w:tcPr>
            <w:tcW w:w="2252" w:type="dxa"/>
          </w:tcPr>
          <w:p w14:paraId="6F942B51" w14:textId="77777777" w:rsidR="007A52A3" w:rsidRPr="00214121" w:rsidRDefault="007A52A3" w:rsidP="00214121">
            <w:pPr>
              <w:rPr>
                <w:rFonts w:ascii="Arial" w:hAnsi="Arial"/>
              </w:rPr>
            </w:pPr>
          </w:p>
        </w:tc>
        <w:tc>
          <w:tcPr>
            <w:tcW w:w="2252" w:type="dxa"/>
          </w:tcPr>
          <w:p w14:paraId="224EC75A" w14:textId="77777777" w:rsidR="007A52A3" w:rsidRPr="00214121" w:rsidRDefault="007A52A3">
            <w:pPr>
              <w:keepNext/>
              <w:keepLines/>
              <w:spacing w:before="200"/>
              <w:jc w:val="right"/>
              <w:outlineLvl w:val="8"/>
              <w:rPr>
                <w:rFonts w:ascii="Arial" w:hAnsi="Arial"/>
                <w:b/>
              </w:rPr>
            </w:pPr>
            <w:r w:rsidRPr="00214121">
              <w:rPr>
                <w:rFonts w:ascii="Arial" w:hAnsi="Arial"/>
                <w:b/>
              </w:rPr>
              <w:t>Turnover</w:t>
            </w:r>
          </w:p>
        </w:tc>
        <w:tc>
          <w:tcPr>
            <w:tcW w:w="2253" w:type="dxa"/>
          </w:tcPr>
          <w:p w14:paraId="4342842A" w14:textId="77777777" w:rsidR="007A52A3" w:rsidRPr="00214121" w:rsidRDefault="007A52A3" w:rsidP="00214121">
            <w:pPr>
              <w:jc w:val="right"/>
              <w:rPr>
                <w:rFonts w:ascii="Arial" w:hAnsi="Arial"/>
                <w:b/>
              </w:rPr>
            </w:pPr>
            <w:r w:rsidRPr="00214121">
              <w:rPr>
                <w:rFonts w:ascii="Arial" w:hAnsi="Arial"/>
                <w:b/>
              </w:rPr>
              <w:t>Balance sheet total</w:t>
            </w:r>
          </w:p>
        </w:tc>
        <w:tc>
          <w:tcPr>
            <w:tcW w:w="2253" w:type="dxa"/>
          </w:tcPr>
          <w:p w14:paraId="69D50923" w14:textId="77777777" w:rsidR="007A52A3" w:rsidRPr="00214121" w:rsidRDefault="007A52A3" w:rsidP="00214121">
            <w:pPr>
              <w:jc w:val="right"/>
              <w:rPr>
                <w:rFonts w:ascii="Arial" w:hAnsi="Arial"/>
                <w:b/>
              </w:rPr>
            </w:pPr>
            <w:r w:rsidRPr="00214121">
              <w:rPr>
                <w:rFonts w:ascii="Arial" w:hAnsi="Arial"/>
                <w:b/>
              </w:rPr>
              <w:t>Average number of employees</w:t>
            </w:r>
          </w:p>
        </w:tc>
      </w:tr>
      <w:tr w:rsidR="007A52A3" w:rsidRPr="007A52A3" w14:paraId="33BFF86D" w14:textId="77777777" w:rsidTr="00B9592E">
        <w:tc>
          <w:tcPr>
            <w:tcW w:w="2252" w:type="dxa"/>
          </w:tcPr>
          <w:p w14:paraId="37BD9BCB" w14:textId="77777777" w:rsidR="007A52A3" w:rsidRPr="00214121" w:rsidRDefault="007A52A3">
            <w:pPr>
              <w:keepNext/>
              <w:keepLines/>
              <w:spacing w:before="200"/>
              <w:outlineLvl w:val="8"/>
              <w:rPr>
                <w:rFonts w:ascii="Arial" w:hAnsi="Arial"/>
              </w:rPr>
            </w:pPr>
            <w:r w:rsidRPr="00214121">
              <w:rPr>
                <w:rFonts w:ascii="Arial" w:hAnsi="Arial"/>
              </w:rPr>
              <w:t>Micro-entity</w:t>
            </w:r>
          </w:p>
        </w:tc>
        <w:tc>
          <w:tcPr>
            <w:tcW w:w="2252" w:type="dxa"/>
          </w:tcPr>
          <w:p w14:paraId="000E85E7" w14:textId="77777777" w:rsidR="007A52A3" w:rsidRPr="00214121" w:rsidRDefault="007A52A3">
            <w:pPr>
              <w:jc w:val="right"/>
              <w:rPr>
                <w:rFonts w:ascii="Arial" w:hAnsi="Arial"/>
              </w:rPr>
            </w:pPr>
            <w:r w:rsidRPr="00214121">
              <w:rPr>
                <w:rFonts w:ascii="Arial" w:hAnsi="Arial"/>
              </w:rPr>
              <w:t>Not more than £632,000</w:t>
            </w:r>
          </w:p>
        </w:tc>
        <w:tc>
          <w:tcPr>
            <w:tcW w:w="2253" w:type="dxa"/>
          </w:tcPr>
          <w:p w14:paraId="4833A983" w14:textId="77777777" w:rsidR="007A52A3" w:rsidRPr="00214121" w:rsidRDefault="007A52A3">
            <w:pPr>
              <w:keepNext/>
              <w:keepLines/>
              <w:spacing w:before="200"/>
              <w:jc w:val="right"/>
              <w:outlineLvl w:val="8"/>
              <w:rPr>
                <w:rFonts w:ascii="Arial" w:hAnsi="Arial"/>
              </w:rPr>
            </w:pPr>
            <w:r w:rsidRPr="00214121">
              <w:rPr>
                <w:rFonts w:ascii="Arial" w:hAnsi="Arial"/>
              </w:rPr>
              <w:t>Not more than £316,000</w:t>
            </w:r>
          </w:p>
        </w:tc>
        <w:tc>
          <w:tcPr>
            <w:tcW w:w="2253" w:type="dxa"/>
          </w:tcPr>
          <w:p w14:paraId="00FAE215" w14:textId="77777777" w:rsidR="007A52A3" w:rsidRPr="00214121" w:rsidRDefault="007A52A3">
            <w:pPr>
              <w:keepNext/>
              <w:keepLines/>
              <w:spacing w:before="200"/>
              <w:jc w:val="right"/>
              <w:outlineLvl w:val="8"/>
              <w:rPr>
                <w:rFonts w:ascii="Arial" w:hAnsi="Arial"/>
              </w:rPr>
            </w:pPr>
            <w:r w:rsidRPr="00214121">
              <w:rPr>
                <w:rFonts w:ascii="Arial" w:hAnsi="Arial"/>
              </w:rPr>
              <w:t>Not more than 10</w:t>
            </w:r>
          </w:p>
        </w:tc>
      </w:tr>
      <w:tr w:rsidR="007A52A3" w:rsidRPr="007A52A3" w14:paraId="6B6D4989" w14:textId="77777777" w:rsidTr="00B9592E">
        <w:tc>
          <w:tcPr>
            <w:tcW w:w="2252" w:type="dxa"/>
          </w:tcPr>
          <w:p w14:paraId="66AA3B4C" w14:textId="77777777" w:rsidR="007A52A3" w:rsidRPr="00214121" w:rsidRDefault="007A52A3">
            <w:pPr>
              <w:keepNext/>
              <w:keepLines/>
              <w:spacing w:before="200"/>
              <w:outlineLvl w:val="8"/>
              <w:rPr>
                <w:rFonts w:ascii="Arial" w:hAnsi="Arial"/>
              </w:rPr>
            </w:pPr>
            <w:r w:rsidRPr="00214121">
              <w:rPr>
                <w:rFonts w:ascii="Arial" w:hAnsi="Arial"/>
              </w:rPr>
              <w:t xml:space="preserve">Small company </w:t>
            </w:r>
          </w:p>
        </w:tc>
        <w:tc>
          <w:tcPr>
            <w:tcW w:w="2252" w:type="dxa"/>
          </w:tcPr>
          <w:p w14:paraId="2BB1C5D0" w14:textId="3D942EE6" w:rsidR="007A52A3" w:rsidRPr="00214121" w:rsidRDefault="007A52A3">
            <w:pPr>
              <w:keepNext/>
              <w:keepLines/>
              <w:spacing w:before="200"/>
              <w:jc w:val="right"/>
              <w:outlineLvl w:val="8"/>
              <w:rPr>
                <w:rFonts w:ascii="Arial" w:hAnsi="Arial"/>
              </w:rPr>
            </w:pPr>
            <w:r w:rsidRPr="00214121">
              <w:rPr>
                <w:rFonts w:ascii="Arial" w:hAnsi="Arial"/>
              </w:rPr>
              <w:t>Not more than £10.2</w:t>
            </w:r>
            <w:r w:rsidR="009D542E">
              <w:rPr>
                <w:rFonts w:ascii="Arial" w:hAnsi="Arial"/>
              </w:rPr>
              <w:t>m</w:t>
            </w:r>
          </w:p>
        </w:tc>
        <w:tc>
          <w:tcPr>
            <w:tcW w:w="2253" w:type="dxa"/>
          </w:tcPr>
          <w:p w14:paraId="5DFE8DA2" w14:textId="12CB9D6D" w:rsidR="007A52A3" w:rsidRPr="00214121" w:rsidRDefault="007A52A3">
            <w:pPr>
              <w:keepNext/>
              <w:keepLines/>
              <w:spacing w:before="200"/>
              <w:jc w:val="right"/>
              <w:outlineLvl w:val="8"/>
              <w:rPr>
                <w:rFonts w:ascii="Arial" w:hAnsi="Arial"/>
              </w:rPr>
            </w:pPr>
            <w:r w:rsidRPr="00214121">
              <w:rPr>
                <w:rFonts w:ascii="Arial" w:hAnsi="Arial"/>
              </w:rPr>
              <w:t>Not more than £5.1</w:t>
            </w:r>
            <w:r w:rsidR="009D542E">
              <w:rPr>
                <w:rFonts w:ascii="Arial" w:hAnsi="Arial"/>
              </w:rPr>
              <w:t>m</w:t>
            </w:r>
          </w:p>
        </w:tc>
        <w:tc>
          <w:tcPr>
            <w:tcW w:w="2253" w:type="dxa"/>
          </w:tcPr>
          <w:p w14:paraId="098C6E39" w14:textId="77777777" w:rsidR="007A52A3" w:rsidRPr="00214121" w:rsidRDefault="007A52A3">
            <w:pPr>
              <w:keepNext/>
              <w:keepLines/>
              <w:spacing w:before="200"/>
              <w:jc w:val="right"/>
              <w:outlineLvl w:val="8"/>
              <w:rPr>
                <w:rFonts w:ascii="Arial" w:hAnsi="Arial"/>
              </w:rPr>
            </w:pPr>
            <w:r w:rsidRPr="00214121">
              <w:rPr>
                <w:rFonts w:ascii="Arial" w:hAnsi="Arial"/>
              </w:rPr>
              <w:t>Not more than 50</w:t>
            </w:r>
          </w:p>
        </w:tc>
      </w:tr>
      <w:tr w:rsidR="007A52A3" w:rsidRPr="007A52A3" w14:paraId="07E454CD" w14:textId="77777777" w:rsidTr="00B9592E">
        <w:tc>
          <w:tcPr>
            <w:tcW w:w="2252" w:type="dxa"/>
          </w:tcPr>
          <w:p w14:paraId="5AAAFBE3" w14:textId="77777777" w:rsidR="007A52A3" w:rsidRPr="00214121" w:rsidRDefault="007A52A3">
            <w:pPr>
              <w:keepNext/>
              <w:keepLines/>
              <w:spacing w:before="200"/>
              <w:outlineLvl w:val="8"/>
              <w:rPr>
                <w:rFonts w:ascii="Arial" w:hAnsi="Arial"/>
              </w:rPr>
            </w:pPr>
            <w:r w:rsidRPr="00214121">
              <w:rPr>
                <w:rFonts w:ascii="Arial" w:hAnsi="Arial"/>
              </w:rPr>
              <w:t xml:space="preserve">Small group </w:t>
            </w:r>
          </w:p>
        </w:tc>
        <w:tc>
          <w:tcPr>
            <w:tcW w:w="2252" w:type="dxa"/>
          </w:tcPr>
          <w:p w14:paraId="6C8E1BB0" w14:textId="4FB93562" w:rsidR="007A52A3" w:rsidRPr="00214121" w:rsidRDefault="007A52A3">
            <w:pPr>
              <w:keepNext/>
              <w:keepLines/>
              <w:spacing w:before="200"/>
              <w:jc w:val="right"/>
              <w:outlineLvl w:val="8"/>
              <w:rPr>
                <w:rFonts w:ascii="Arial" w:hAnsi="Arial"/>
              </w:rPr>
            </w:pPr>
            <w:r w:rsidRPr="00214121">
              <w:rPr>
                <w:rFonts w:ascii="Arial" w:hAnsi="Arial"/>
              </w:rPr>
              <w:t>Not more than £10.2</w:t>
            </w:r>
            <w:r w:rsidR="009D542E">
              <w:rPr>
                <w:rFonts w:ascii="Arial" w:hAnsi="Arial"/>
              </w:rPr>
              <w:t>m</w:t>
            </w:r>
            <w:r w:rsidRPr="00214121">
              <w:rPr>
                <w:rFonts w:ascii="Arial" w:hAnsi="Arial"/>
              </w:rPr>
              <w:t xml:space="preserve"> net or not more than £12.2</w:t>
            </w:r>
            <w:r w:rsidR="009D542E">
              <w:rPr>
                <w:rFonts w:ascii="Arial" w:hAnsi="Arial"/>
              </w:rPr>
              <w:t>m</w:t>
            </w:r>
            <w:r w:rsidRPr="00214121">
              <w:rPr>
                <w:rFonts w:ascii="Arial" w:hAnsi="Arial"/>
              </w:rPr>
              <w:t xml:space="preserve"> gross </w:t>
            </w:r>
          </w:p>
        </w:tc>
        <w:tc>
          <w:tcPr>
            <w:tcW w:w="2253" w:type="dxa"/>
          </w:tcPr>
          <w:p w14:paraId="22C9222E" w14:textId="39A6686B" w:rsidR="007A52A3" w:rsidRPr="00214121" w:rsidRDefault="007A52A3">
            <w:pPr>
              <w:keepNext/>
              <w:keepLines/>
              <w:spacing w:before="200"/>
              <w:jc w:val="right"/>
              <w:outlineLvl w:val="8"/>
              <w:rPr>
                <w:rFonts w:ascii="Arial" w:hAnsi="Arial"/>
              </w:rPr>
            </w:pPr>
            <w:r w:rsidRPr="00214121">
              <w:rPr>
                <w:rFonts w:ascii="Arial" w:hAnsi="Arial"/>
              </w:rPr>
              <w:t>Not more than £5.1</w:t>
            </w:r>
            <w:r w:rsidR="009D542E">
              <w:rPr>
                <w:rFonts w:ascii="Arial" w:hAnsi="Arial"/>
              </w:rPr>
              <w:t>m</w:t>
            </w:r>
            <w:r w:rsidRPr="00214121">
              <w:rPr>
                <w:rFonts w:ascii="Arial" w:hAnsi="Arial"/>
              </w:rPr>
              <w:t xml:space="preserve"> net or not more than £6.1</w:t>
            </w:r>
            <w:r w:rsidR="009D542E">
              <w:rPr>
                <w:rFonts w:ascii="Arial" w:hAnsi="Arial"/>
              </w:rPr>
              <w:t>m</w:t>
            </w:r>
            <w:r w:rsidRPr="00214121">
              <w:rPr>
                <w:rFonts w:ascii="Arial" w:hAnsi="Arial"/>
              </w:rPr>
              <w:t xml:space="preserve"> gross </w:t>
            </w:r>
          </w:p>
        </w:tc>
        <w:tc>
          <w:tcPr>
            <w:tcW w:w="2253" w:type="dxa"/>
          </w:tcPr>
          <w:p w14:paraId="19310047" w14:textId="77777777" w:rsidR="007A52A3" w:rsidRPr="00214121" w:rsidRDefault="007A52A3">
            <w:pPr>
              <w:keepNext/>
              <w:keepLines/>
              <w:spacing w:before="200"/>
              <w:jc w:val="right"/>
              <w:outlineLvl w:val="8"/>
              <w:rPr>
                <w:rFonts w:ascii="Arial" w:hAnsi="Arial"/>
              </w:rPr>
            </w:pPr>
            <w:r w:rsidRPr="00214121">
              <w:rPr>
                <w:rFonts w:ascii="Arial" w:hAnsi="Arial"/>
              </w:rPr>
              <w:t>Not more than 50</w:t>
            </w:r>
          </w:p>
        </w:tc>
      </w:tr>
      <w:tr w:rsidR="007A52A3" w:rsidRPr="007A52A3" w14:paraId="5C8ECBF8" w14:textId="77777777" w:rsidTr="00B9592E">
        <w:tc>
          <w:tcPr>
            <w:tcW w:w="2252" w:type="dxa"/>
          </w:tcPr>
          <w:p w14:paraId="5D95E801" w14:textId="77777777" w:rsidR="007A52A3" w:rsidRPr="00214121" w:rsidRDefault="007A52A3">
            <w:pPr>
              <w:keepNext/>
              <w:keepLines/>
              <w:spacing w:before="200"/>
              <w:outlineLvl w:val="8"/>
              <w:rPr>
                <w:rFonts w:ascii="Arial" w:hAnsi="Arial"/>
              </w:rPr>
            </w:pPr>
            <w:r w:rsidRPr="00214121">
              <w:rPr>
                <w:rFonts w:ascii="Arial" w:hAnsi="Arial"/>
              </w:rPr>
              <w:t xml:space="preserve">Medium-sized company </w:t>
            </w:r>
          </w:p>
        </w:tc>
        <w:tc>
          <w:tcPr>
            <w:tcW w:w="2252" w:type="dxa"/>
          </w:tcPr>
          <w:p w14:paraId="5AF25CA8" w14:textId="70F30435" w:rsidR="007A52A3" w:rsidRPr="00214121" w:rsidRDefault="007A52A3">
            <w:pPr>
              <w:keepNext/>
              <w:keepLines/>
              <w:spacing w:before="200"/>
              <w:jc w:val="right"/>
              <w:outlineLvl w:val="8"/>
              <w:rPr>
                <w:rFonts w:ascii="Arial" w:hAnsi="Arial"/>
              </w:rPr>
            </w:pPr>
            <w:r w:rsidRPr="00214121">
              <w:rPr>
                <w:rFonts w:ascii="Arial" w:hAnsi="Arial"/>
              </w:rPr>
              <w:t>Not more than £36</w:t>
            </w:r>
            <w:r w:rsidR="009D542E">
              <w:rPr>
                <w:rFonts w:ascii="Arial" w:hAnsi="Arial"/>
              </w:rPr>
              <w:t>m</w:t>
            </w:r>
            <w:r w:rsidRPr="00214121">
              <w:rPr>
                <w:rFonts w:ascii="Arial" w:hAnsi="Arial"/>
              </w:rPr>
              <w:t xml:space="preserve"> </w:t>
            </w:r>
          </w:p>
        </w:tc>
        <w:tc>
          <w:tcPr>
            <w:tcW w:w="2253" w:type="dxa"/>
          </w:tcPr>
          <w:p w14:paraId="1ED98142" w14:textId="693DD61F" w:rsidR="007A52A3" w:rsidRPr="00214121" w:rsidRDefault="007A52A3">
            <w:pPr>
              <w:keepNext/>
              <w:keepLines/>
              <w:spacing w:before="200"/>
              <w:jc w:val="right"/>
              <w:outlineLvl w:val="8"/>
              <w:rPr>
                <w:rFonts w:ascii="Arial" w:hAnsi="Arial"/>
              </w:rPr>
            </w:pPr>
            <w:r w:rsidRPr="00214121">
              <w:rPr>
                <w:rFonts w:ascii="Arial" w:hAnsi="Arial"/>
              </w:rPr>
              <w:t>Not more than £18</w:t>
            </w:r>
            <w:r w:rsidR="009D542E">
              <w:rPr>
                <w:rFonts w:ascii="Arial" w:hAnsi="Arial"/>
              </w:rPr>
              <w:t>m</w:t>
            </w:r>
          </w:p>
        </w:tc>
        <w:tc>
          <w:tcPr>
            <w:tcW w:w="2253" w:type="dxa"/>
          </w:tcPr>
          <w:p w14:paraId="19408DDB" w14:textId="77777777" w:rsidR="007A52A3" w:rsidRPr="00214121" w:rsidRDefault="007A52A3">
            <w:pPr>
              <w:keepNext/>
              <w:keepLines/>
              <w:spacing w:before="200"/>
              <w:jc w:val="right"/>
              <w:outlineLvl w:val="8"/>
              <w:rPr>
                <w:rFonts w:ascii="Arial" w:hAnsi="Arial"/>
              </w:rPr>
            </w:pPr>
            <w:r w:rsidRPr="00214121">
              <w:rPr>
                <w:rFonts w:ascii="Arial" w:hAnsi="Arial"/>
              </w:rPr>
              <w:t>Not more than 250</w:t>
            </w:r>
          </w:p>
        </w:tc>
      </w:tr>
      <w:tr w:rsidR="007A52A3" w:rsidRPr="007A52A3" w14:paraId="5CC465B2" w14:textId="77777777" w:rsidTr="00B9592E">
        <w:tc>
          <w:tcPr>
            <w:tcW w:w="2252" w:type="dxa"/>
          </w:tcPr>
          <w:p w14:paraId="6D33D8E2" w14:textId="77777777" w:rsidR="007A52A3" w:rsidRPr="00214121" w:rsidRDefault="007A52A3">
            <w:pPr>
              <w:keepNext/>
              <w:keepLines/>
              <w:spacing w:before="200"/>
              <w:outlineLvl w:val="8"/>
              <w:rPr>
                <w:rFonts w:ascii="Arial" w:hAnsi="Arial"/>
              </w:rPr>
            </w:pPr>
            <w:r w:rsidRPr="00214121">
              <w:rPr>
                <w:rFonts w:ascii="Arial" w:hAnsi="Arial"/>
              </w:rPr>
              <w:t xml:space="preserve">Medium-sized group </w:t>
            </w:r>
          </w:p>
        </w:tc>
        <w:tc>
          <w:tcPr>
            <w:tcW w:w="2252" w:type="dxa"/>
          </w:tcPr>
          <w:p w14:paraId="7914569A" w14:textId="3325862E" w:rsidR="007A52A3" w:rsidRPr="00214121" w:rsidRDefault="007A52A3">
            <w:pPr>
              <w:keepNext/>
              <w:keepLines/>
              <w:spacing w:before="200"/>
              <w:jc w:val="right"/>
              <w:outlineLvl w:val="8"/>
              <w:rPr>
                <w:rFonts w:ascii="Arial" w:hAnsi="Arial"/>
              </w:rPr>
            </w:pPr>
            <w:r w:rsidRPr="00214121">
              <w:rPr>
                <w:rFonts w:ascii="Arial" w:hAnsi="Arial"/>
              </w:rPr>
              <w:t>Not more than £36</w:t>
            </w:r>
            <w:r w:rsidR="009D542E">
              <w:rPr>
                <w:rFonts w:ascii="Arial" w:hAnsi="Arial"/>
              </w:rPr>
              <w:t>m</w:t>
            </w:r>
            <w:r w:rsidRPr="00214121">
              <w:rPr>
                <w:rFonts w:ascii="Arial" w:hAnsi="Arial"/>
              </w:rPr>
              <w:t xml:space="preserve"> net or not more than £43.2</w:t>
            </w:r>
            <w:r w:rsidR="009D542E">
              <w:rPr>
                <w:rFonts w:ascii="Arial" w:hAnsi="Arial"/>
              </w:rPr>
              <w:t>m</w:t>
            </w:r>
            <w:r w:rsidRPr="00214121">
              <w:rPr>
                <w:rFonts w:ascii="Arial" w:hAnsi="Arial"/>
              </w:rPr>
              <w:t xml:space="preserve"> gross </w:t>
            </w:r>
          </w:p>
        </w:tc>
        <w:tc>
          <w:tcPr>
            <w:tcW w:w="2253" w:type="dxa"/>
          </w:tcPr>
          <w:p w14:paraId="1C4B3F91" w14:textId="06B83A3B" w:rsidR="007A52A3" w:rsidRPr="00214121" w:rsidRDefault="007A52A3">
            <w:pPr>
              <w:keepNext/>
              <w:keepLines/>
              <w:spacing w:before="200"/>
              <w:jc w:val="right"/>
              <w:outlineLvl w:val="8"/>
              <w:rPr>
                <w:rFonts w:ascii="Arial" w:hAnsi="Arial"/>
              </w:rPr>
            </w:pPr>
            <w:r w:rsidRPr="00214121">
              <w:rPr>
                <w:rFonts w:ascii="Arial" w:hAnsi="Arial"/>
              </w:rPr>
              <w:t>Not more than £18</w:t>
            </w:r>
            <w:r w:rsidR="009D542E">
              <w:rPr>
                <w:rFonts w:ascii="Arial" w:hAnsi="Arial"/>
              </w:rPr>
              <w:t>m</w:t>
            </w:r>
            <w:r w:rsidRPr="00214121">
              <w:rPr>
                <w:rFonts w:ascii="Arial" w:hAnsi="Arial"/>
              </w:rPr>
              <w:t xml:space="preserve"> net or not more than £21.6</w:t>
            </w:r>
            <w:r w:rsidR="009D542E">
              <w:rPr>
                <w:rFonts w:ascii="Arial" w:hAnsi="Arial"/>
              </w:rPr>
              <w:t>m</w:t>
            </w:r>
            <w:r w:rsidRPr="00214121">
              <w:rPr>
                <w:rFonts w:ascii="Arial" w:hAnsi="Arial"/>
              </w:rPr>
              <w:t xml:space="preserve"> gross </w:t>
            </w:r>
          </w:p>
        </w:tc>
        <w:tc>
          <w:tcPr>
            <w:tcW w:w="2253" w:type="dxa"/>
          </w:tcPr>
          <w:p w14:paraId="0DD26DA1" w14:textId="77777777" w:rsidR="007A52A3" w:rsidRPr="00214121" w:rsidRDefault="007A52A3">
            <w:pPr>
              <w:keepNext/>
              <w:keepLines/>
              <w:spacing w:before="200"/>
              <w:jc w:val="right"/>
              <w:outlineLvl w:val="8"/>
              <w:rPr>
                <w:rFonts w:ascii="Arial" w:hAnsi="Arial"/>
              </w:rPr>
            </w:pPr>
            <w:r w:rsidRPr="00214121">
              <w:rPr>
                <w:rFonts w:ascii="Arial" w:hAnsi="Arial"/>
              </w:rPr>
              <w:t>Not more than 250</w:t>
            </w:r>
          </w:p>
        </w:tc>
      </w:tr>
      <w:tr w:rsidR="007A52A3" w:rsidRPr="007A52A3" w14:paraId="575CDFBF" w14:textId="77777777" w:rsidTr="00B9592E">
        <w:tc>
          <w:tcPr>
            <w:tcW w:w="2252" w:type="dxa"/>
          </w:tcPr>
          <w:p w14:paraId="757E3DF2" w14:textId="77777777" w:rsidR="007A52A3" w:rsidRPr="00214121" w:rsidRDefault="007A52A3">
            <w:pPr>
              <w:keepNext/>
              <w:keepLines/>
              <w:spacing w:before="200"/>
              <w:outlineLvl w:val="8"/>
              <w:rPr>
                <w:rFonts w:ascii="Arial" w:hAnsi="Arial"/>
              </w:rPr>
            </w:pPr>
            <w:r w:rsidRPr="00214121">
              <w:rPr>
                <w:rFonts w:ascii="Arial" w:hAnsi="Arial"/>
              </w:rPr>
              <w:t>Large company</w:t>
            </w:r>
          </w:p>
        </w:tc>
        <w:tc>
          <w:tcPr>
            <w:tcW w:w="2252" w:type="dxa"/>
          </w:tcPr>
          <w:p w14:paraId="071B566B" w14:textId="3169E5AD" w:rsidR="007A52A3" w:rsidRPr="00214121" w:rsidRDefault="007A52A3">
            <w:pPr>
              <w:keepNext/>
              <w:keepLines/>
              <w:spacing w:before="200"/>
              <w:jc w:val="right"/>
              <w:outlineLvl w:val="8"/>
              <w:rPr>
                <w:rFonts w:ascii="Arial" w:hAnsi="Arial"/>
              </w:rPr>
            </w:pPr>
            <w:r w:rsidRPr="00214121">
              <w:rPr>
                <w:rFonts w:ascii="Arial" w:hAnsi="Arial"/>
              </w:rPr>
              <w:t>More than £36</w:t>
            </w:r>
            <w:r w:rsidR="009D542E">
              <w:rPr>
                <w:rFonts w:ascii="Arial" w:hAnsi="Arial"/>
              </w:rPr>
              <w:t>m</w:t>
            </w:r>
          </w:p>
        </w:tc>
        <w:tc>
          <w:tcPr>
            <w:tcW w:w="2253" w:type="dxa"/>
          </w:tcPr>
          <w:p w14:paraId="3ECEF0C2" w14:textId="1FF52F29" w:rsidR="007A52A3" w:rsidRPr="00214121" w:rsidRDefault="007A52A3">
            <w:pPr>
              <w:keepNext/>
              <w:keepLines/>
              <w:spacing w:before="200"/>
              <w:jc w:val="right"/>
              <w:outlineLvl w:val="8"/>
              <w:rPr>
                <w:rFonts w:ascii="Arial" w:hAnsi="Arial"/>
              </w:rPr>
            </w:pPr>
            <w:r w:rsidRPr="00214121">
              <w:rPr>
                <w:rFonts w:ascii="Arial" w:hAnsi="Arial"/>
              </w:rPr>
              <w:t>More than £18</w:t>
            </w:r>
            <w:r w:rsidR="009D542E">
              <w:rPr>
                <w:rFonts w:ascii="Arial" w:hAnsi="Arial"/>
              </w:rPr>
              <w:t>m</w:t>
            </w:r>
          </w:p>
        </w:tc>
        <w:tc>
          <w:tcPr>
            <w:tcW w:w="2253" w:type="dxa"/>
          </w:tcPr>
          <w:p w14:paraId="23F70A8F" w14:textId="77777777" w:rsidR="007A52A3" w:rsidRPr="00214121" w:rsidRDefault="007A52A3">
            <w:pPr>
              <w:keepNext/>
              <w:keepLines/>
              <w:spacing w:before="200"/>
              <w:jc w:val="right"/>
              <w:outlineLvl w:val="8"/>
              <w:rPr>
                <w:rFonts w:ascii="Arial" w:hAnsi="Arial"/>
              </w:rPr>
            </w:pPr>
            <w:r w:rsidRPr="00214121">
              <w:rPr>
                <w:rFonts w:ascii="Arial" w:hAnsi="Arial"/>
              </w:rPr>
              <w:t>250 or more</w:t>
            </w:r>
          </w:p>
        </w:tc>
      </w:tr>
      <w:tr w:rsidR="007A52A3" w:rsidRPr="007A52A3" w14:paraId="45D5B78D" w14:textId="77777777" w:rsidTr="00B9592E">
        <w:tc>
          <w:tcPr>
            <w:tcW w:w="2252" w:type="dxa"/>
          </w:tcPr>
          <w:p w14:paraId="21008D63" w14:textId="77777777" w:rsidR="007A52A3" w:rsidRPr="00214121" w:rsidRDefault="007A52A3">
            <w:pPr>
              <w:keepNext/>
              <w:keepLines/>
              <w:spacing w:before="200"/>
              <w:outlineLvl w:val="8"/>
              <w:rPr>
                <w:rFonts w:ascii="Arial" w:hAnsi="Arial"/>
              </w:rPr>
            </w:pPr>
            <w:r w:rsidRPr="00214121">
              <w:rPr>
                <w:rFonts w:ascii="Arial" w:hAnsi="Arial"/>
              </w:rPr>
              <w:t xml:space="preserve">Large group </w:t>
            </w:r>
          </w:p>
        </w:tc>
        <w:tc>
          <w:tcPr>
            <w:tcW w:w="2252" w:type="dxa"/>
          </w:tcPr>
          <w:p w14:paraId="2D3CD121" w14:textId="33D146EE" w:rsidR="007A52A3" w:rsidRPr="00214121" w:rsidRDefault="007A52A3">
            <w:pPr>
              <w:keepNext/>
              <w:keepLines/>
              <w:spacing w:before="200"/>
              <w:jc w:val="right"/>
              <w:outlineLvl w:val="8"/>
              <w:rPr>
                <w:rFonts w:ascii="Arial" w:hAnsi="Arial"/>
              </w:rPr>
            </w:pPr>
            <w:r w:rsidRPr="00214121">
              <w:rPr>
                <w:rFonts w:ascii="Arial" w:hAnsi="Arial"/>
              </w:rPr>
              <w:t>More than £36</w:t>
            </w:r>
            <w:r w:rsidR="009D542E">
              <w:rPr>
                <w:rFonts w:ascii="Arial" w:hAnsi="Arial"/>
              </w:rPr>
              <w:t>m</w:t>
            </w:r>
            <w:r w:rsidRPr="00214121">
              <w:rPr>
                <w:rFonts w:ascii="Arial" w:hAnsi="Arial"/>
              </w:rPr>
              <w:t xml:space="preserve"> net or more than £43.2</w:t>
            </w:r>
            <w:r w:rsidR="009D542E">
              <w:rPr>
                <w:rFonts w:ascii="Arial" w:hAnsi="Arial"/>
              </w:rPr>
              <w:t>m</w:t>
            </w:r>
            <w:r w:rsidRPr="00214121">
              <w:rPr>
                <w:rFonts w:ascii="Arial" w:hAnsi="Arial"/>
              </w:rPr>
              <w:t xml:space="preserve"> gross</w:t>
            </w:r>
          </w:p>
        </w:tc>
        <w:tc>
          <w:tcPr>
            <w:tcW w:w="2253" w:type="dxa"/>
          </w:tcPr>
          <w:p w14:paraId="112FA161" w14:textId="11E20E4C" w:rsidR="007A52A3" w:rsidRPr="00214121" w:rsidRDefault="007A52A3">
            <w:pPr>
              <w:keepNext/>
              <w:keepLines/>
              <w:spacing w:before="200"/>
              <w:jc w:val="right"/>
              <w:outlineLvl w:val="8"/>
              <w:rPr>
                <w:rFonts w:ascii="Arial" w:hAnsi="Arial"/>
              </w:rPr>
            </w:pPr>
            <w:r w:rsidRPr="00214121">
              <w:rPr>
                <w:rFonts w:ascii="Arial" w:hAnsi="Arial"/>
              </w:rPr>
              <w:t>More than £18</w:t>
            </w:r>
            <w:r w:rsidR="009D542E">
              <w:rPr>
                <w:rFonts w:ascii="Arial" w:hAnsi="Arial"/>
              </w:rPr>
              <w:t>m</w:t>
            </w:r>
            <w:r w:rsidRPr="00214121">
              <w:rPr>
                <w:rFonts w:ascii="Arial" w:hAnsi="Arial"/>
              </w:rPr>
              <w:t xml:space="preserve"> net or more than £21.6</w:t>
            </w:r>
            <w:r w:rsidR="009D542E">
              <w:rPr>
                <w:rFonts w:ascii="Arial" w:hAnsi="Arial"/>
              </w:rPr>
              <w:t>m</w:t>
            </w:r>
            <w:r w:rsidRPr="00214121">
              <w:rPr>
                <w:rFonts w:ascii="Arial" w:hAnsi="Arial"/>
              </w:rPr>
              <w:t xml:space="preserve"> gross</w:t>
            </w:r>
          </w:p>
        </w:tc>
        <w:tc>
          <w:tcPr>
            <w:tcW w:w="2253" w:type="dxa"/>
          </w:tcPr>
          <w:p w14:paraId="6B4EB72A" w14:textId="77777777" w:rsidR="007A52A3" w:rsidRPr="00214121" w:rsidRDefault="007A52A3">
            <w:pPr>
              <w:keepNext/>
              <w:keepLines/>
              <w:spacing w:before="200"/>
              <w:jc w:val="right"/>
              <w:outlineLvl w:val="8"/>
              <w:rPr>
                <w:rFonts w:ascii="Arial" w:hAnsi="Arial"/>
              </w:rPr>
            </w:pPr>
            <w:r w:rsidRPr="00214121">
              <w:rPr>
                <w:rFonts w:ascii="Arial" w:hAnsi="Arial"/>
              </w:rPr>
              <w:t>250 or more</w:t>
            </w:r>
          </w:p>
        </w:tc>
      </w:tr>
    </w:tbl>
    <w:p w14:paraId="32EF6847" w14:textId="77777777" w:rsidR="007A52A3" w:rsidRPr="00214121" w:rsidRDefault="007A52A3" w:rsidP="00214121">
      <w:pPr>
        <w:spacing w:line="360" w:lineRule="auto"/>
        <w:rPr>
          <w:rFonts w:ascii="Arial" w:hAnsi="Arial"/>
        </w:rPr>
      </w:pPr>
      <w:r w:rsidRPr="00214121">
        <w:rPr>
          <w:rFonts w:ascii="Arial" w:hAnsi="Arial"/>
        </w:rPr>
        <w:t xml:space="preserve"> </w:t>
      </w:r>
    </w:p>
    <w:p w14:paraId="25802D48" w14:textId="5F51659F" w:rsidR="007A52A3" w:rsidRPr="00214121" w:rsidRDefault="007A52A3" w:rsidP="00214121">
      <w:pPr>
        <w:spacing w:line="360" w:lineRule="auto"/>
        <w:rPr>
          <w:rFonts w:ascii="Arial" w:hAnsi="Arial"/>
        </w:rPr>
      </w:pPr>
      <w:r w:rsidRPr="00214121">
        <w:rPr>
          <w:rFonts w:ascii="Arial" w:hAnsi="Arial"/>
        </w:rPr>
        <w:t>The qualifying conditions above are met by a company, or a group, in a year in which it satisfies two, or more, of the turnover, balance sheet total and employee headcount criteria.</w:t>
      </w:r>
      <w:r>
        <w:rPr>
          <w:rFonts w:ascii="Arial" w:hAnsi="Arial"/>
        </w:rPr>
        <w:t xml:space="preserve"> </w:t>
      </w:r>
      <w:r w:rsidRPr="00214121">
        <w:rPr>
          <w:rFonts w:ascii="Arial" w:hAnsi="Arial"/>
        </w:rPr>
        <w:t>Section 382(4) of the Companies Act 2006 says that if a company has a short accounting period, the turnover figure must be proportionately adjusted.</w:t>
      </w:r>
    </w:p>
    <w:p w14:paraId="4155F38E" w14:textId="77777777" w:rsidR="007A52A3" w:rsidRPr="00214121" w:rsidRDefault="007A52A3" w:rsidP="00214121">
      <w:pPr>
        <w:spacing w:line="360" w:lineRule="auto"/>
        <w:rPr>
          <w:rFonts w:ascii="Arial" w:hAnsi="Arial"/>
        </w:rPr>
      </w:pPr>
    </w:p>
    <w:p w14:paraId="196D649B" w14:textId="3452F7F6" w:rsidR="007A52A3" w:rsidRPr="00214121" w:rsidRDefault="007A52A3" w:rsidP="00214121">
      <w:pPr>
        <w:spacing w:line="360" w:lineRule="auto"/>
        <w:rPr>
          <w:rFonts w:ascii="Arial" w:hAnsi="Arial"/>
        </w:rPr>
      </w:pPr>
      <w:r w:rsidRPr="00214121">
        <w:rPr>
          <w:rFonts w:ascii="Arial" w:hAnsi="Arial"/>
        </w:rPr>
        <w:t>SI 2015/980 contains an early adoption clause which allows an entity to early adopt the provisions of the revised Companies Act 2006 for accounting periods starting on or after 1 January 2015, but before 1 January 2016, if the directors so wish.</w:t>
      </w:r>
      <w:r>
        <w:rPr>
          <w:rFonts w:ascii="Arial" w:hAnsi="Arial"/>
        </w:rPr>
        <w:t xml:space="preserve"> </w:t>
      </w:r>
      <w:r w:rsidRPr="00214121">
        <w:rPr>
          <w:rFonts w:ascii="Arial" w:hAnsi="Arial"/>
        </w:rPr>
        <w:t>Where an entity early adopts the new legislation, it must ensure that it also:</w:t>
      </w:r>
    </w:p>
    <w:p w14:paraId="14B955DE" w14:textId="77777777" w:rsidR="007A52A3" w:rsidRPr="00214121" w:rsidRDefault="007A52A3" w:rsidP="00214121">
      <w:pPr>
        <w:spacing w:line="360" w:lineRule="auto"/>
        <w:rPr>
          <w:rFonts w:ascii="Arial" w:hAnsi="Arial"/>
        </w:rPr>
      </w:pPr>
    </w:p>
    <w:p w14:paraId="251FEB09" w14:textId="38947765" w:rsidR="007A52A3" w:rsidRPr="00214121" w:rsidRDefault="007A52A3" w:rsidP="00214121">
      <w:pPr>
        <w:pStyle w:val="ListParagraph"/>
        <w:numPr>
          <w:ilvl w:val="0"/>
          <w:numId w:val="15"/>
        </w:numPr>
        <w:spacing w:line="360" w:lineRule="auto"/>
        <w:rPr>
          <w:rFonts w:ascii="Arial" w:hAnsi="Arial"/>
          <w:sz w:val="24"/>
        </w:rPr>
      </w:pPr>
      <w:r w:rsidRPr="00214121">
        <w:rPr>
          <w:rFonts w:ascii="Arial" w:hAnsi="Arial"/>
          <w:sz w:val="24"/>
        </w:rPr>
        <w:t>applies the provisions in new UK GAAP.</w:t>
      </w:r>
      <w:r>
        <w:rPr>
          <w:rFonts w:ascii="Arial" w:hAnsi="Arial"/>
          <w:sz w:val="24"/>
        </w:rPr>
        <w:t xml:space="preserve"> </w:t>
      </w:r>
      <w:r w:rsidRPr="00214121">
        <w:rPr>
          <w:rFonts w:ascii="Arial" w:hAnsi="Arial"/>
          <w:sz w:val="24"/>
        </w:rPr>
        <w:t xml:space="preserve">A company that was previously medium-sized but is now small under the revised size thresholds must not use the </w:t>
      </w:r>
      <w:r w:rsidRPr="00214121">
        <w:rPr>
          <w:rFonts w:ascii="Arial" w:hAnsi="Arial"/>
          <w:i/>
          <w:sz w:val="24"/>
        </w:rPr>
        <w:t>FRSSE</w:t>
      </w:r>
      <w:r w:rsidRPr="00214121">
        <w:rPr>
          <w:rFonts w:ascii="Arial" w:hAnsi="Arial"/>
          <w:sz w:val="24"/>
        </w:rPr>
        <w:t xml:space="preserve"> (effective </w:t>
      </w:r>
      <w:r w:rsidRPr="00214121">
        <w:rPr>
          <w:rFonts w:ascii="Arial" w:hAnsi="Arial"/>
          <w:sz w:val="24"/>
        </w:rPr>
        <w:lastRenderedPageBreak/>
        <w:t xml:space="preserve">January 2015) in the preparation of, say, the 31 December 2015 financial statements; if the entity early adopts the revised legislation, it must early adopt </w:t>
      </w:r>
      <w:r w:rsidR="00583122">
        <w:rPr>
          <w:rFonts w:ascii="Arial" w:hAnsi="Arial"/>
          <w:sz w:val="24"/>
        </w:rPr>
        <w:t>the new suite of standards</w:t>
      </w:r>
    </w:p>
    <w:p w14:paraId="54887363" w14:textId="417BD793" w:rsidR="007A52A3" w:rsidRPr="00214121" w:rsidRDefault="007A52A3" w:rsidP="00214121">
      <w:pPr>
        <w:pStyle w:val="ListParagraph"/>
        <w:numPr>
          <w:ilvl w:val="0"/>
          <w:numId w:val="15"/>
        </w:numPr>
        <w:spacing w:line="360" w:lineRule="auto"/>
        <w:rPr>
          <w:rFonts w:ascii="Arial" w:hAnsi="Arial"/>
          <w:sz w:val="24"/>
        </w:rPr>
      </w:pPr>
      <w:r w:rsidRPr="00214121">
        <w:rPr>
          <w:rFonts w:ascii="Arial" w:hAnsi="Arial"/>
          <w:sz w:val="24"/>
        </w:rPr>
        <w:t>does not early adopt the revised audit exemption thresholds as there is no option to early adopt the increased audit exemption thresholds (which have been aligned to the small company size thresholds noted in the table above</w:t>
      </w:r>
      <w:r w:rsidR="00221E8F">
        <w:rPr>
          <w:rFonts w:ascii="Arial" w:hAnsi="Arial"/>
          <w:sz w:val="24"/>
        </w:rPr>
        <w:t>)</w:t>
      </w:r>
    </w:p>
    <w:p w14:paraId="11BF82DF" w14:textId="77777777" w:rsidR="007A52A3" w:rsidRPr="00214121" w:rsidRDefault="007A52A3" w:rsidP="00214121">
      <w:pPr>
        <w:pStyle w:val="ListParagraph"/>
        <w:numPr>
          <w:ilvl w:val="0"/>
          <w:numId w:val="15"/>
        </w:numPr>
        <w:spacing w:line="360" w:lineRule="auto"/>
        <w:rPr>
          <w:rFonts w:ascii="Arial" w:hAnsi="Arial"/>
          <w:sz w:val="24"/>
        </w:rPr>
      </w:pPr>
      <w:r w:rsidRPr="00214121">
        <w:rPr>
          <w:rFonts w:ascii="Arial" w:hAnsi="Arial"/>
          <w:sz w:val="24"/>
        </w:rPr>
        <w:t>does not prepare abbreviated financial statements as the concept of such accounts has been abolished in SI 2015/980.</w:t>
      </w:r>
    </w:p>
    <w:p w14:paraId="4DB6458E" w14:textId="77777777" w:rsidR="009C5F53" w:rsidRDefault="009C5F53" w:rsidP="00214121">
      <w:pPr>
        <w:pStyle w:val="Heading1"/>
        <w:spacing w:line="360" w:lineRule="auto"/>
        <w:rPr>
          <w:rFonts w:ascii="Arial" w:hAnsi="Arial"/>
        </w:rPr>
      </w:pPr>
    </w:p>
    <w:p w14:paraId="23D98304" w14:textId="64972982" w:rsidR="007A52A3" w:rsidRPr="00214121" w:rsidRDefault="007A52A3" w:rsidP="00214121">
      <w:pPr>
        <w:pStyle w:val="Heading1"/>
        <w:spacing w:line="360" w:lineRule="auto"/>
        <w:rPr>
          <w:rFonts w:ascii="Arial" w:hAnsi="Arial"/>
          <w:caps/>
        </w:rPr>
      </w:pPr>
      <w:r w:rsidRPr="00214121">
        <w:rPr>
          <w:rFonts w:ascii="Arial" w:hAnsi="Arial"/>
          <w:caps/>
        </w:rPr>
        <w:t>Reduced disclosure requirements and the true and fair concept</w:t>
      </w:r>
    </w:p>
    <w:p w14:paraId="6A83EE6B" w14:textId="2363DA9F" w:rsidR="007A52A3" w:rsidRPr="00214121" w:rsidRDefault="007A52A3" w:rsidP="00214121">
      <w:pPr>
        <w:spacing w:line="360" w:lineRule="auto"/>
        <w:rPr>
          <w:rFonts w:ascii="Arial" w:hAnsi="Arial"/>
        </w:rPr>
      </w:pPr>
      <w:r w:rsidRPr="00214121">
        <w:rPr>
          <w:rFonts w:ascii="Arial" w:hAnsi="Arial"/>
        </w:rPr>
        <w:t xml:space="preserve">The </w:t>
      </w:r>
      <w:r w:rsidR="00E33C69">
        <w:rPr>
          <w:rFonts w:ascii="Arial" w:hAnsi="Arial"/>
        </w:rPr>
        <w:t>small companies</w:t>
      </w:r>
      <w:r w:rsidRPr="00214121">
        <w:rPr>
          <w:rFonts w:ascii="Arial" w:hAnsi="Arial"/>
        </w:rPr>
        <w:t xml:space="preserve"> and micro-entities choosing not to apply FRS 105</w:t>
      </w:r>
      <w:r w:rsidR="00C63D2C">
        <w:rPr>
          <w:rFonts w:ascii="Arial" w:hAnsi="Arial"/>
        </w:rPr>
        <w:t>,</w:t>
      </w:r>
      <w:r w:rsidRPr="00214121">
        <w:rPr>
          <w:rFonts w:ascii="Arial" w:hAnsi="Arial"/>
        </w:rPr>
        <w:t xml:space="preserve"> </w:t>
      </w:r>
      <w:r w:rsidRPr="00214121">
        <w:rPr>
          <w:rFonts w:ascii="Arial" w:hAnsi="Arial"/>
          <w:i/>
        </w:rPr>
        <w:t xml:space="preserve">The Financial Reporting Standard applicable to the Micro-entities Regime, </w:t>
      </w:r>
      <w:r w:rsidRPr="00214121">
        <w:rPr>
          <w:rFonts w:ascii="Arial" w:hAnsi="Arial"/>
        </w:rPr>
        <w:t>must adopt FRS 102 for accounting periods starting on or after 1 January 2016 (although early adoption is permissible).</w:t>
      </w:r>
      <w:r>
        <w:rPr>
          <w:rFonts w:ascii="Arial" w:hAnsi="Arial"/>
        </w:rPr>
        <w:t xml:space="preserve"> </w:t>
      </w:r>
      <w:r w:rsidRPr="00214121">
        <w:rPr>
          <w:rFonts w:ascii="Arial" w:hAnsi="Arial"/>
        </w:rPr>
        <w:t xml:space="preserve">FRS 102 contains a section specifically for small companies referred to as </w:t>
      </w:r>
      <w:r w:rsidR="00AB7609">
        <w:rPr>
          <w:rFonts w:ascii="Arial" w:hAnsi="Arial"/>
        </w:rPr>
        <w:t>s</w:t>
      </w:r>
      <w:r w:rsidRPr="00214121">
        <w:rPr>
          <w:rFonts w:ascii="Arial" w:hAnsi="Arial"/>
        </w:rPr>
        <w:t>ection 1A</w:t>
      </w:r>
      <w:r w:rsidR="00B74F12">
        <w:rPr>
          <w:rFonts w:ascii="Arial" w:hAnsi="Arial"/>
        </w:rPr>
        <w:t>,</w:t>
      </w:r>
      <w:r w:rsidRPr="00214121">
        <w:rPr>
          <w:rFonts w:ascii="Arial" w:hAnsi="Arial"/>
        </w:rPr>
        <w:t xml:space="preserve"> </w:t>
      </w:r>
      <w:r w:rsidR="00B74F12">
        <w:rPr>
          <w:rFonts w:ascii="Arial" w:hAnsi="Arial"/>
        </w:rPr>
        <w:t>‘</w:t>
      </w:r>
      <w:r w:rsidRPr="00214121">
        <w:rPr>
          <w:rFonts w:ascii="Arial" w:hAnsi="Arial"/>
        </w:rPr>
        <w:t>Small Entities</w:t>
      </w:r>
      <w:r w:rsidR="00B74F12">
        <w:rPr>
          <w:rFonts w:ascii="Arial" w:hAnsi="Arial"/>
        </w:rPr>
        <w:t>’,</w:t>
      </w:r>
      <w:r w:rsidRPr="00214121">
        <w:rPr>
          <w:rFonts w:ascii="Arial" w:hAnsi="Arial"/>
          <w:i/>
        </w:rPr>
        <w:t xml:space="preserve"> </w:t>
      </w:r>
      <w:r w:rsidRPr="00214121">
        <w:rPr>
          <w:rFonts w:ascii="Arial" w:hAnsi="Arial"/>
        </w:rPr>
        <w:t>which was first introduced into the September 2015 edition of FRS 102.</w:t>
      </w:r>
      <w:r>
        <w:rPr>
          <w:rFonts w:ascii="Arial" w:hAnsi="Arial"/>
        </w:rPr>
        <w:t xml:space="preserve"> </w:t>
      </w:r>
      <w:r w:rsidRPr="00214121">
        <w:rPr>
          <w:rFonts w:ascii="Arial" w:hAnsi="Arial"/>
        </w:rPr>
        <w:t xml:space="preserve">Section 1A outlines the </w:t>
      </w:r>
      <w:r w:rsidRPr="00214121">
        <w:rPr>
          <w:rFonts w:ascii="Arial" w:hAnsi="Arial"/>
          <w:b/>
        </w:rPr>
        <w:t xml:space="preserve">presentation </w:t>
      </w:r>
      <w:r w:rsidRPr="00214121">
        <w:rPr>
          <w:rFonts w:ascii="Arial" w:hAnsi="Arial"/>
        </w:rPr>
        <w:t xml:space="preserve">and </w:t>
      </w:r>
      <w:r w:rsidRPr="00214121">
        <w:rPr>
          <w:rFonts w:ascii="Arial" w:hAnsi="Arial"/>
          <w:b/>
        </w:rPr>
        <w:t xml:space="preserve">disclosure </w:t>
      </w:r>
      <w:r w:rsidRPr="00214121">
        <w:rPr>
          <w:rFonts w:ascii="Arial" w:hAnsi="Arial"/>
        </w:rPr>
        <w:t xml:space="preserve">requirements only. In terms of </w:t>
      </w:r>
      <w:r w:rsidRPr="00214121">
        <w:rPr>
          <w:rFonts w:ascii="Arial" w:hAnsi="Arial"/>
          <w:b/>
        </w:rPr>
        <w:t xml:space="preserve">recognition </w:t>
      </w:r>
      <w:r w:rsidRPr="00214121">
        <w:rPr>
          <w:rFonts w:ascii="Arial" w:hAnsi="Arial"/>
        </w:rPr>
        <w:t xml:space="preserve">and </w:t>
      </w:r>
      <w:r w:rsidRPr="00214121">
        <w:rPr>
          <w:rFonts w:ascii="Arial" w:hAnsi="Arial"/>
          <w:b/>
        </w:rPr>
        <w:t>measurement</w:t>
      </w:r>
      <w:r w:rsidRPr="00214121">
        <w:rPr>
          <w:rFonts w:ascii="Arial" w:hAnsi="Arial"/>
        </w:rPr>
        <w:t xml:space="preserve"> of amounts in the financial statements, the provisions of </w:t>
      </w:r>
      <w:r w:rsidRPr="00214121">
        <w:rPr>
          <w:rFonts w:ascii="Arial" w:hAnsi="Arial"/>
          <w:b/>
        </w:rPr>
        <w:t xml:space="preserve">full </w:t>
      </w:r>
      <w:r w:rsidRPr="00214121">
        <w:rPr>
          <w:rFonts w:ascii="Arial" w:hAnsi="Arial"/>
        </w:rPr>
        <w:t>FRS 102 apply.</w:t>
      </w:r>
    </w:p>
    <w:p w14:paraId="625E6106" w14:textId="77777777" w:rsidR="007A52A3" w:rsidRPr="00214121" w:rsidRDefault="007A52A3" w:rsidP="00214121">
      <w:pPr>
        <w:spacing w:line="360" w:lineRule="auto"/>
        <w:rPr>
          <w:rFonts w:ascii="Arial" w:hAnsi="Arial"/>
        </w:rPr>
      </w:pPr>
    </w:p>
    <w:p w14:paraId="59BD216F" w14:textId="77777777" w:rsidR="007A52A3" w:rsidRPr="00214121" w:rsidRDefault="007A52A3" w:rsidP="00214121">
      <w:pPr>
        <w:spacing w:line="360" w:lineRule="auto"/>
        <w:rPr>
          <w:rFonts w:ascii="Arial" w:hAnsi="Arial"/>
        </w:rPr>
      </w:pPr>
      <w:r w:rsidRPr="00214121">
        <w:rPr>
          <w:rFonts w:ascii="Arial" w:hAnsi="Arial"/>
        </w:rPr>
        <w:t>Section 1A of FRS 102 is structured as follows:</w:t>
      </w:r>
    </w:p>
    <w:p w14:paraId="47B87BA3" w14:textId="77777777" w:rsidR="007A52A3" w:rsidRPr="00214121" w:rsidRDefault="007A52A3" w:rsidP="00214121">
      <w:pPr>
        <w:spacing w:line="360" w:lineRule="auto"/>
        <w:rPr>
          <w:rFonts w:ascii="Arial" w:hAnsi="Arial"/>
        </w:rPr>
      </w:pPr>
    </w:p>
    <w:tbl>
      <w:tblPr>
        <w:tblStyle w:val="TableGrid"/>
        <w:tblW w:w="0" w:type="auto"/>
        <w:tblLook w:val="04A0" w:firstRow="1" w:lastRow="0" w:firstColumn="1" w:lastColumn="0" w:noHBand="0" w:noVBand="1"/>
      </w:tblPr>
      <w:tblGrid>
        <w:gridCol w:w="4505"/>
        <w:gridCol w:w="4505"/>
      </w:tblGrid>
      <w:tr w:rsidR="007A52A3" w:rsidRPr="007A52A3" w14:paraId="1DE4C01D" w14:textId="77777777" w:rsidTr="00B9592E">
        <w:tc>
          <w:tcPr>
            <w:tcW w:w="4505" w:type="dxa"/>
          </w:tcPr>
          <w:p w14:paraId="0B6BEDAA" w14:textId="77777777" w:rsidR="007A52A3" w:rsidRPr="00214121" w:rsidRDefault="007A52A3" w:rsidP="00214121">
            <w:pPr>
              <w:rPr>
                <w:rFonts w:ascii="Arial" w:hAnsi="Arial"/>
                <w:b/>
              </w:rPr>
            </w:pPr>
            <w:r w:rsidRPr="00214121">
              <w:rPr>
                <w:rFonts w:ascii="Arial" w:hAnsi="Arial"/>
                <w:b/>
              </w:rPr>
              <w:t>Section</w:t>
            </w:r>
          </w:p>
        </w:tc>
        <w:tc>
          <w:tcPr>
            <w:tcW w:w="4505" w:type="dxa"/>
          </w:tcPr>
          <w:p w14:paraId="4689573E" w14:textId="77777777" w:rsidR="007A52A3" w:rsidRPr="00214121" w:rsidRDefault="007A52A3" w:rsidP="00214121">
            <w:pPr>
              <w:rPr>
                <w:rFonts w:ascii="Arial" w:hAnsi="Arial"/>
                <w:b/>
              </w:rPr>
            </w:pPr>
            <w:r w:rsidRPr="00214121">
              <w:rPr>
                <w:rFonts w:ascii="Arial" w:hAnsi="Arial"/>
                <w:b/>
              </w:rPr>
              <w:t>Paragraphs</w:t>
            </w:r>
          </w:p>
        </w:tc>
      </w:tr>
      <w:tr w:rsidR="007A52A3" w:rsidRPr="007A52A3" w14:paraId="57C7C285" w14:textId="77777777" w:rsidTr="00B9592E">
        <w:tc>
          <w:tcPr>
            <w:tcW w:w="4505" w:type="dxa"/>
          </w:tcPr>
          <w:p w14:paraId="6BAAE329" w14:textId="77777777" w:rsidR="007A52A3" w:rsidRPr="00214121" w:rsidRDefault="007A52A3">
            <w:pPr>
              <w:keepNext/>
              <w:keepLines/>
              <w:spacing w:before="200"/>
              <w:outlineLvl w:val="8"/>
              <w:rPr>
                <w:rFonts w:ascii="Arial" w:hAnsi="Arial"/>
              </w:rPr>
            </w:pPr>
            <w:r w:rsidRPr="00214121">
              <w:rPr>
                <w:rFonts w:ascii="Arial" w:hAnsi="Arial"/>
              </w:rPr>
              <w:t xml:space="preserve">Scope of this section </w:t>
            </w:r>
          </w:p>
        </w:tc>
        <w:tc>
          <w:tcPr>
            <w:tcW w:w="4505" w:type="dxa"/>
          </w:tcPr>
          <w:p w14:paraId="15D998CE" w14:textId="77777777" w:rsidR="007A52A3" w:rsidRPr="00214121" w:rsidRDefault="007A52A3">
            <w:pPr>
              <w:keepNext/>
              <w:keepLines/>
              <w:spacing w:before="200"/>
              <w:outlineLvl w:val="8"/>
              <w:rPr>
                <w:rFonts w:ascii="Arial" w:hAnsi="Arial"/>
              </w:rPr>
            </w:pPr>
            <w:r w:rsidRPr="00214121">
              <w:rPr>
                <w:rFonts w:ascii="Arial" w:hAnsi="Arial"/>
              </w:rPr>
              <w:t>1A.1 to 1A.4</w:t>
            </w:r>
          </w:p>
        </w:tc>
      </w:tr>
      <w:tr w:rsidR="007A52A3" w:rsidRPr="007A52A3" w14:paraId="4C121A13" w14:textId="77777777" w:rsidTr="00B9592E">
        <w:tc>
          <w:tcPr>
            <w:tcW w:w="4505" w:type="dxa"/>
          </w:tcPr>
          <w:p w14:paraId="257E3E30" w14:textId="77777777" w:rsidR="007A52A3" w:rsidRPr="00214121" w:rsidRDefault="007A52A3">
            <w:pPr>
              <w:keepNext/>
              <w:keepLines/>
              <w:spacing w:before="200"/>
              <w:outlineLvl w:val="8"/>
              <w:rPr>
                <w:rFonts w:ascii="Arial" w:hAnsi="Arial"/>
              </w:rPr>
            </w:pPr>
            <w:r w:rsidRPr="00214121">
              <w:rPr>
                <w:rFonts w:ascii="Arial" w:hAnsi="Arial"/>
              </w:rPr>
              <w:t xml:space="preserve">True and fair view </w:t>
            </w:r>
          </w:p>
        </w:tc>
        <w:tc>
          <w:tcPr>
            <w:tcW w:w="4505" w:type="dxa"/>
          </w:tcPr>
          <w:p w14:paraId="7724710E" w14:textId="77777777" w:rsidR="007A52A3" w:rsidRPr="00214121" w:rsidRDefault="007A52A3">
            <w:pPr>
              <w:keepNext/>
              <w:keepLines/>
              <w:spacing w:before="200"/>
              <w:outlineLvl w:val="8"/>
              <w:rPr>
                <w:rFonts w:ascii="Arial" w:hAnsi="Arial"/>
              </w:rPr>
            </w:pPr>
            <w:r w:rsidRPr="00214121">
              <w:rPr>
                <w:rFonts w:ascii="Arial" w:hAnsi="Arial"/>
              </w:rPr>
              <w:t>1A.5 to 1A.6</w:t>
            </w:r>
          </w:p>
        </w:tc>
      </w:tr>
      <w:tr w:rsidR="007A52A3" w:rsidRPr="007A52A3" w14:paraId="6DD8BA24" w14:textId="77777777" w:rsidTr="00B9592E">
        <w:tc>
          <w:tcPr>
            <w:tcW w:w="4505" w:type="dxa"/>
          </w:tcPr>
          <w:p w14:paraId="6D7F2BA2" w14:textId="77777777" w:rsidR="007A52A3" w:rsidRPr="00214121" w:rsidRDefault="007A52A3">
            <w:pPr>
              <w:keepNext/>
              <w:keepLines/>
              <w:spacing w:before="200"/>
              <w:outlineLvl w:val="8"/>
              <w:rPr>
                <w:rFonts w:ascii="Arial" w:hAnsi="Arial"/>
              </w:rPr>
            </w:pPr>
            <w:r w:rsidRPr="00214121">
              <w:rPr>
                <w:rFonts w:ascii="Arial" w:hAnsi="Arial"/>
              </w:rPr>
              <w:t>Complete set of financial statements of a small entity</w:t>
            </w:r>
          </w:p>
        </w:tc>
        <w:tc>
          <w:tcPr>
            <w:tcW w:w="4505" w:type="dxa"/>
          </w:tcPr>
          <w:p w14:paraId="42B9D2CC" w14:textId="77777777" w:rsidR="007A52A3" w:rsidRPr="00214121" w:rsidRDefault="007A52A3">
            <w:pPr>
              <w:keepNext/>
              <w:keepLines/>
              <w:spacing w:before="200"/>
              <w:outlineLvl w:val="8"/>
              <w:rPr>
                <w:rFonts w:ascii="Arial" w:hAnsi="Arial"/>
              </w:rPr>
            </w:pPr>
            <w:r w:rsidRPr="00214121">
              <w:rPr>
                <w:rFonts w:ascii="Arial" w:hAnsi="Arial"/>
              </w:rPr>
              <w:t>1A.7 to 1A.11</w:t>
            </w:r>
          </w:p>
        </w:tc>
      </w:tr>
      <w:tr w:rsidR="007A52A3" w:rsidRPr="007A52A3" w14:paraId="5D8EEC71" w14:textId="77777777" w:rsidTr="00B9592E">
        <w:tc>
          <w:tcPr>
            <w:tcW w:w="4505" w:type="dxa"/>
          </w:tcPr>
          <w:p w14:paraId="2E69F5B5" w14:textId="77777777" w:rsidR="007A52A3" w:rsidRPr="00214121" w:rsidRDefault="007A52A3">
            <w:pPr>
              <w:keepNext/>
              <w:keepLines/>
              <w:spacing w:before="200"/>
              <w:outlineLvl w:val="8"/>
              <w:rPr>
                <w:rFonts w:ascii="Arial" w:hAnsi="Arial"/>
              </w:rPr>
            </w:pPr>
            <w:r w:rsidRPr="00214121">
              <w:rPr>
                <w:rFonts w:ascii="Arial" w:hAnsi="Arial"/>
              </w:rPr>
              <w:t xml:space="preserve">Information to be presented in the statement of financial position </w:t>
            </w:r>
          </w:p>
        </w:tc>
        <w:tc>
          <w:tcPr>
            <w:tcW w:w="4505" w:type="dxa"/>
          </w:tcPr>
          <w:p w14:paraId="3203F9B2" w14:textId="77777777" w:rsidR="007A52A3" w:rsidRPr="00214121" w:rsidRDefault="007A52A3">
            <w:pPr>
              <w:keepNext/>
              <w:keepLines/>
              <w:spacing w:before="200"/>
              <w:outlineLvl w:val="8"/>
              <w:rPr>
                <w:rFonts w:ascii="Arial" w:hAnsi="Arial"/>
              </w:rPr>
            </w:pPr>
            <w:r w:rsidRPr="00214121">
              <w:rPr>
                <w:rFonts w:ascii="Arial" w:hAnsi="Arial"/>
              </w:rPr>
              <w:t>1A.12 to 1A.13</w:t>
            </w:r>
          </w:p>
        </w:tc>
      </w:tr>
      <w:tr w:rsidR="007A52A3" w:rsidRPr="007A52A3" w14:paraId="1EDCF45E" w14:textId="77777777" w:rsidTr="00B9592E">
        <w:tc>
          <w:tcPr>
            <w:tcW w:w="4505" w:type="dxa"/>
          </w:tcPr>
          <w:p w14:paraId="4F118F87" w14:textId="77777777" w:rsidR="007A52A3" w:rsidRPr="00214121" w:rsidRDefault="007A52A3">
            <w:pPr>
              <w:keepNext/>
              <w:keepLines/>
              <w:spacing w:before="200"/>
              <w:outlineLvl w:val="8"/>
              <w:rPr>
                <w:rFonts w:ascii="Arial" w:hAnsi="Arial"/>
              </w:rPr>
            </w:pPr>
            <w:r w:rsidRPr="00214121">
              <w:rPr>
                <w:rFonts w:ascii="Arial" w:hAnsi="Arial"/>
              </w:rPr>
              <w:t>Information to be presented in the income statement</w:t>
            </w:r>
          </w:p>
        </w:tc>
        <w:tc>
          <w:tcPr>
            <w:tcW w:w="4505" w:type="dxa"/>
          </w:tcPr>
          <w:p w14:paraId="6FBC1E22" w14:textId="77777777" w:rsidR="007A52A3" w:rsidRPr="00214121" w:rsidRDefault="007A52A3">
            <w:pPr>
              <w:keepNext/>
              <w:keepLines/>
              <w:spacing w:before="200"/>
              <w:outlineLvl w:val="8"/>
              <w:rPr>
                <w:rFonts w:ascii="Arial" w:hAnsi="Arial"/>
              </w:rPr>
            </w:pPr>
            <w:r w:rsidRPr="00214121">
              <w:rPr>
                <w:rFonts w:ascii="Arial" w:hAnsi="Arial"/>
              </w:rPr>
              <w:t>1A.14 to 1A.15</w:t>
            </w:r>
          </w:p>
        </w:tc>
      </w:tr>
      <w:tr w:rsidR="007A52A3" w:rsidRPr="007A52A3" w14:paraId="3C22F2B0" w14:textId="77777777" w:rsidTr="00B9592E">
        <w:tc>
          <w:tcPr>
            <w:tcW w:w="4505" w:type="dxa"/>
          </w:tcPr>
          <w:p w14:paraId="1D9770EC" w14:textId="77777777" w:rsidR="007A52A3" w:rsidRPr="00214121" w:rsidRDefault="007A52A3">
            <w:pPr>
              <w:keepNext/>
              <w:keepLines/>
              <w:spacing w:before="200"/>
              <w:outlineLvl w:val="8"/>
              <w:rPr>
                <w:rFonts w:ascii="Arial" w:hAnsi="Arial"/>
              </w:rPr>
            </w:pPr>
            <w:r w:rsidRPr="00214121">
              <w:rPr>
                <w:rFonts w:ascii="Arial" w:hAnsi="Arial"/>
              </w:rPr>
              <w:t>Information to be presented in the notes to the financial statements</w:t>
            </w:r>
          </w:p>
        </w:tc>
        <w:tc>
          <w:tcPr>
            <w:tcW w:w="4505" w:type="dxa"/>
          </w:tcPr>
          <w:p w14:paraId="55D3DF1B" w14:textId="77777777" w:rsidR="007A52A3" w:rsidRPr="00214121" w:rsidRDefault="007A52A3">
            <w:pPr>
              <w:keepNext/>
              <w:keepLines/>
              <w:spacing w:before="200"/>
              <w:outlineLvl w:val="8"/>
              <w:rPr>
                <w:rFonts w:ascii="Arial" w:hAnsi="Arial"/>
              </w:rPr>
            </w:pPr>
            <w:r w:rsidRPr="00214121">
              <w:rPr>
                <w:rFonts w:ascii="Arial" w:hAnsi="Arial"/>
              </w:rPr>
              <w:t>1A.16 to 1A.20</w:t>
            </w:r>
          </w:p>
        </w:tc>
      </w:tr>
      <w:tr w:rsidR="007A52A3" w:rsidRPr="007A52A3" w14:paraId="0B617204" w14:textId="77777777" w:rsidTr="00B9592E">
        <w:tc>
          <w:tcPr>
            <w:tcW w:w="4505" w:type="dxa"/>
          </w:tcPr>
          <w:p w14:paraId="23C528A6" w14:textId="77777777" w:rsidR="007A52A3" w:rsidRPr="00214121" w:rsidRDefault="007A52A3">
            <w:pPr>
              <w:keepNext/>
              <w:keepLines/>
              <w:spacing w:before="200"/>
              <w:outlineLvl w:val="8"/>
              <w:rPr>
                <w:rFonts w:ascii="Arial" w:hAnsi="Arial"/>
              </w:rPr>
            </w:pPr>
            <w:r w:rsidRPr="00214121">
              <w:rPr>
                <w:rFonts w:ascii="Arial" w:hAnsi="Arial"/>
              </w:rPr>
              <w:t>Voluntary preparation of consolidated financial statements</w:t>
            </w:r>
          </w:p>
        </w:tc>
        <w:tc>
          <w:tcPr>
            <w:tcW w:w="4505" w:type="dxa"/>
          </w:tcPr>
          <w:p w14:paraId="5DB5328F" w14:textId="77777777" w:rsidR="007A52A3" w:rsidRPr="00214121" w:rsidRDefault="007A52A3">
            <w:pPr>
              <w:rPr>
                <w:rFonts w:ascii="Arial" w:hAnsi="Arial"/>
              </w:rPr>
            </w:pPr>
            <w:r w:rsidRPr="00214121">
              <w:rPr>
                <w:rFonts w:ascii="Arial" w:hAnsi="Arial"/>
              </w:rPr>
              <w:t>1A.21 to 1A.22</w:t>
            </w:r>
          </w:p>
        </w:tc>
      </w:tr>
    </w:tbl>
    <w:p w14:paraId="345FC3AB" w14:textId="77777777" w:rsidR="007A52A3" w:rsidRPr="00214121" w:rsidRDefault="007A52A3" w:rsidP="00214121">
      <w:pPr>
        <w:spacing w:line="360" w:lineRule="auto"/>
        <w:rPr>
          <w:rFonts w:ascii="Arial" w:hAnsi="Arial"/>
        </w:rPr>
      </w:pPr>
    </w:p>
    <w:p w14:paraId="58E24425" w14:textId="0F2C97C0" w:rsidR="007A52A3" w:rsidRPr="00214121" w:rsidRDefault="007A52A3" w:rsidP="00214121">
      <w:pPr>
        <w:spacing w:line="360" w:lineRule="auto"/>
        <w:rPr>
          <w:rFonts w:ascii="Arial" w:hAnsi="Arial"/>
        </w:rPr>
      </w:pPr>
      <w:r w:rsidRPr="00214121">
        <w:rPr>
          <w:rFonts w:ascii="Arial" w:hAnsi="Arial"/>
        </w:rPr>
        <w:t xml:space="preserve">There are four appendices attached to </w:t>
      </w:r>
      <w:r w:rsidR="00AB7609">
        <w:rPr>
          <w:rFonts w:ascii="Arial" w:hAnsi="Arial"/>
        </w:rPr>
        <w:t>s</w:t>
      </w:r>
      <w:r w:rsidRPr="00214121">
        <w:rPr>
          <w:rFonts w:ascii="Arial" w:hAnsi="Arial"/>
        </w:rPr>
        <w:t>ection 1A as follows:</w:t>
      </w:r>
    </w:p>
    <w:p w14:paraId="7B5D3527" w14:textId="77777777" w:rsidR="007A52A3" w:rsidRPr="00214121" w:rsidRDefault="007A52A3" w:rsidP="00214121">
      <w:pPr>
        <w:spacing w:line="360" w:lineRule="auto"/>
        <w:rPr>
          <w:rFonts w:ascii="Arial" w:hAnsi="Arial"/>
        </w:rPr>
      </w:pPr>
    </w:p>
    <w:p w14:paraId="41CD00B8" w14:textId="77777777" w:rsidR="007A52A3" w:rsidRPr="00214121" w:rsidRDefault="007A52A3" w:rsidP="00214121">
      <w:pPr>
        <w:spacing w:line="360" w:lineRule="auto"/>
        <w:rPr>
          <w:rFonts w:ascii="Arial" w:hAnsi="Arial"/>
        </w:rPr>
      </w:pPr>
      <w:r w:rsidRPr="00214121">
        <w:rPr>
          <w:rFonts w:ascii="Arial" w:hAnsi="Arial"/>
        </w:rPr>
        <w:lastRenderedPageBreak/>
        <w:t>Appendix A</w:t>
      </w:r>
      <w:r w:rsidRPr="00214121">
        <w:rPr>
          <w:rFonts w:ascii="Arial" w:hAnsi="Arial"/>
        </w:rPr>
        <w:tab/>
      </w:r>
      <w:r w:rsidRPr="00214121">
        <w:rPr>
          <w:rFonts w:ascii="Arial" w:hAnsi="Arial"/>
          <w:i/>
        </w:rPr>
        <w:t>Guidance on adapting the balance sheet formats</w:t>
      </w:r>
    </w:p>
    <w:p w14:paraId="70A16DE1" w14:textId="77777777" w:rsidR="007A52A3" w:rsidRPr="00214121" w:rsidRDefault="007A52A3" w:rsidP="00214121">
      <w:pPr>
        <w:spacing w:line="360" w:lineRule="auto"/>
        <w:rPr>
          <w:rFonts w:ascii="Arial" w:hAnsi="Arial"/>
          <w:i/>
        </w:rPr>
      </w:pPr>
      <w:r w:rsidRPr="00214121">
        <w:rPr>
          <w:rFonts w:ascii="Arial" w:hAnsi="Arial"/>
        </w:rPr>
        <w:t xml:space="preserve">Appendix B </w:t>
      </w:r>
      <w:r w:rsidRPr="00214121">
        <w:rPr>
          <w:rFonts w:ascii="Arial" w:hAnsi="Arial"/>
        </w:rPr>
        <w:tab/>
      </w:r>
      <w:r w:rsidRPr="00214121">
        <w:rPr>
          <w:rFonts w:ascii="Arial" w:hAnsi="Arial"/>
          <w:i/>
        </w:rPr>
        <w:t>Guidance on adapting the profit and loss account formats</w:t>
      </w:r>
    </w:p>
    <w:p w14:paraId="7C01452C" w14:textId="77777777" w:rsidR="007A52A3" w:rsidRPr="00214121" w:rsidRDefault="007A52A3" w:rsidP="00214121">
      <w:pPr>
        <w:spacing w:line="360" w:lineRule="auto"/>
        <w:rPr>
          <w:rFonts w:ascii="Arial" w:hAnsi="Arial"/>
          <w:i/>
        </w:rPr>
      </w:pPr>
      <w:r w:rsidRPr="00214121">
        <w:rPr>
          <w:rFonts w:ascii="Arial" w:hAnsi="Arial"/>
        </w:rPr>
        <w:t>Appendix C</w:t>
      </w:r>
      <w:r w:rsidRPr="00214121">
        <w:rPr>
          <w:rFonts w:ascii="Arial" w:hAnsi="Arial"/>
        </w:rPr>
        <w:tab/>
      </w:r>
      <w:r w:rsidRPr="00214121">
        <w:rPr>
          <w:rFonts w:ascii="Arial" w:hAnsi="Arial"/>
          <w:i/>
        </w:rPr>
        <w:t>Disclosure requirements for small entities</w:t>
      </w:r>
    </w:p>
    <w:p w14:paraId="57C7B3AD" w14:textId="77777777" w:rsidR="007A52A3" w:rsidRPr="00214121" w:rsidRDefault="007A52A3" w:rsidP="00214121">
      <w:pPr>
        <w:spacing w:line="360" w:lineRule="auto"/>
        <w:rPr>
          <w:rFonts w:ascii="Arial" w:hAnsi="Arial"/>
        </w:rPr>
      </w:pPr>
      <w:r w:rsidRPr="00214121">
        <w:rPr>
          <w:rFonts w:ascii="Arial" w:hAnsi="Arial"/>
        </w:rPr>
        <w:t>Appendix D</w:t>
      </w:r>
      <w:r w:rsidRPr="00214121">
        <w:rPr>
          <w:rFonts w:ascii="Arial" w:hAnsi="Arial"/>
        </w:rPr>
        <w:tab/>
      </w:r>
      <w:r w:rsidRPr="00214121">
        <w:rPr>
          <w:rFonts w:ascii="Arial" w:hAnsi="Arial"/>
          <w:i/>
        </w:rPr>
        <w:t>Additional disclosures encouraged for small entities</w:t>
      </w:r>
    </w:p>
    <w:p w14:paraId="2344D615" w14:textId="77777777" w:rsidR="007A52A3" w:rsidRPr="00214121" w:rsidRDefault="007A52A3" w:rsidP="00214121">
      <w:pPr>
        <w:spacing w:line="360" w:lineRule="auto"/>
        <w:rPr>
          <w:rFonts w:ascii="Arial" w:hAnsi="Arial"/>
        </w:rPr>
      </w:pPr>
    </w:p>
    <w:p w14:paraId="22D59C20" w14:textId="178D4740" w:rsidR="007A52A3" w:rsidRPr="00214121" w:rsidRDefault="007A52A3" w:rsidP="00214121">
      <w:pPr>
        <w:rPr>
          <w:rFonts w:ascii="Arial" w:hAnsi="Arial"/>
        </w:rPr>
      </w:pPr>
      <w:r w:rsidRPr="00214121">
        <w:rPr>
          <w:rFonts w:ascii="Arial" w:hAnsi="Arial"/>
        </w:rPr>
        <w:t>Appendix C outlines the disclosures required by law as follows:</w:t>
      </w:r>
    </w:p>
    <w:p w14:paraId="77D34FD0" w14:textId="77777777" w:rsidR="007A52A3" w:rsidRPr="00214121" w:rsidRDefault="007A52A3" w:rsidP="00214121">
      <w:pPr>
        <w:spacing w:line="360" w:lineRule="auto"/>
        <w:rPr>
          <w:rFonts w:ascii="Arial" w:hAnsi="Arial"/>
        </w:rPr>
      </w:pPr>
    </w:p>
    <w:tbl>
      <w:tblPr>
        <w:tblStyle w:val="TableGrid"/>
        <w:tblW w:w="0" w:type="auto"/>
        <w:tblLook w:val="04A0" w:firstRow="1" w:lastRow="0" w:firstColumn="1" w:lastColumn="0" w:noHBand="0" w:noVBand="1"/>
      </w:tblPr>
      <w:tblGrid>
        <w:gridCol w:w="4505"/>
        <w:gridCol w:w="4505"/>
      </w:tblGrid>
      <w:tr w:rsidR="007A52A3" w:rsidRPr="007A52A3" w14:paraId="3578E677" w14:textId="77777777" w:rsidTr="00B9592E">
        <w:tc>
          <w:tcPr>
            <w:tcW w:w="4505" w:type="dxa"/>
          </w:tcPr>
          <w:p w14:paraId="00A9D6C0" w14:textId="77777777" w:rsidR="007A52A3" w:rsidRPr="00214121" w:rsidRDefault="007A52A3" w:rsidP="00214121">
            <w:pPr>
              <w:rPr>
                <w:rFonts w:ascii="Arial" w:hAnsi="Arial"/>
                <w:b/>
              </w:rPr>
            </w:pPr>
            <w:r w:rsidRPr="00214121">
              <w:rPr>
                <w:rFonts w:ascii="Arial" w:hAnsi="Arial"/>
                <w:b/>
              </w:rPr>
              <w:t>Disclosure requirements</w:t>
            </w:r>
          </w:p>
        </w:tc>
        <w:tc>
          <w:tcPr>
            <w:tcW w:w="4505" w:type="dxa"/>
          </w:tcPr>
          <w:p w14:paraId="0EA044B7" w14:textId="77777777" w:rsidR="007A52A3" w:rsidRPr="00214121" w:rsidRDefault="007A52A3" w:rsidP="00214121">
            <w:pPr>
              <w:spacing w:line="360" w:lineRule="auto"/>
              <w:rPr>
                <w:rFonts w:ascii="Arial" w:hAnsi="Arial"/>
                <w:b/>
              </w:rPr>
            </w:pPr>
            <w:r w:rsidRPr="00214121">
              <w:rPr>
                <w:rFonts w:ascii="Arial" w:hAnsi="Arial"/>
                <w:b/>
              </w:rPr>
              <w:t>Paragraphs</w:t>
            </w:r>
          </w:p>
        </w:tc>
      </w:tr>
      <w:tr w:rsidR="007A52A3" w:rsidRPr="007A52A3" w14:paraId="43EB179F" w14:textId="77777777" w:rsidTr="00B9592E">
        <w:tc>
          <w:tcPr>
            <w:tcW w:w="4505" w:type="dxa"/>
          </w:tcPr>
          <w:p w14:paraId="7A2E3B3B" w14:textId="77777777" w:rsidR="007A52A3" w:rsidRPr="00214121" w:rsidRDefault="007A52A3">
            <w:pPr>
              <w:keepNext/>
              <w:keepLines/>
              <w:spacing w:before="200"/>
              <w:outlineLvl w:val="8"/>
              <w:rPr>
                <w:rFonts w:ascii="Arial" w:hAnsi="Arial"/>
              </w:rPr>
            </w:pPr>
            <w:r w:rsidRPr="00214121">
              <w:rPr>
                <w:rFonts w:ascii="Arial" w:hAnsi="Arial"/>
              </w:rPr>
              <w:t>Accounting policies</w:t>
            </w:r>
          </w:p>
        </w:tc>
        <w:tc>
          <w:tcPr>
            <w:tcW w:w="4505" w:type="dxa"/>
          </w:tcPr>
          <w:p w14:paraId="5AA3406A" w14:textId="77777777" w:rsidR="007A52A3" w:rsidRPr="00214121" w:rsidRDefault="007A52A3" w:rsidP="00214121">
            <w:pPr>
              <w:spacing w:line="360" w:lineRule="auto"/>
              <w:rPr>
                <w:rFonts w:ascii="Arial" w:hAnsi="Arial"/>
              </w:rPr>
            </w:pPr>
            <w:r w:rsidRPr="00214121">
              <w:rPr>
                <w:rFonts w:ascii="Arial" w:hAnsi="Arial"/>
              </w:rPr>
              <w:t>1AC.3 to 1AC.6</w:t>
            </w:r>
          </w:p>
        </w:tc>
      </w:tr>
      <w:tr w:rsidR="007A52A3" w:rsidRPr="007A52A3" w14:paraId="18C6BB26" w14:textId="77777777" w:rsidTr="00B9592E">
        <w:tc>
          <w:tcPr>
            <w:tcW w:w="4505" w:type="dxa"/>
          </w:tcPr>
          <w:p w14:paraId="2CF604EE" w14:textId="77777777" w:rsidR="007A52A3" w:rsidRPr="00214121" w:rsidRDefault="007A52A3">
            <w:pPr>
              <w:keepNext/>
              <w:keepLines/>
              <w:spacing w:before="200"/>
              <w:outlineLvl w:val="8"/>
              <w:rPr>
                <w:rFonts w:ascii="Arial" w:hAnsi="Arial"/>
              </w:rPr>
            </w:pPr>
            <w:r w:rsidRPr="00214121">
              <w:rPr>
                <w:rFonts w:ascii="Arial" w:hAnsi="Arial"/>
              </w:rPr>
              <w:t>Changes in presentation and accounting policies and corrections of prior period errors</w:t>
            </w:r>
          </w:p>
        </w:tc>
        <w:tc>
          <w:tcPr>
            <w:tcW w:w="4505" w:type="dxa"/>
          </w:tcPr>
          <w:p w14:paraId="7527F3F4" w14:textId="77777777" w:rsidR="007A52A3" w:rsidRPr="00214121" w:rsidRDefault="007A52A3" w:rsidP="00214121">
            <w:pPr>
              <w:spacing w:line="360" w:lineRule="auto"/>
              <w:rPr>
                <w:rFonts w:ascii="Arial" w:hAnsi="Arial"/>
              </w:rPr>
            </w:pPr>
            <w:r w:rsidRPr="00214121">
              <w:rPr>
                <w:rFonts w:ascii="Arial" w:hAnsi="Arial"/>
              </w:rPr>
              <w:t>1AC.7 to AC.9</w:t>
            </w:r>
          </w:p>
        </w:tc>
      </w:tr>
      <w:tr w:rsidR="007A52A3" w:rsidRPr="007A52A3" w14:paraId="428C3529" w14:textId="77777777" w:rsidTr="00B9592E">
        <w:tc>
          <w:tcPr>
            <w:tcW w:w="4505" w:type="dxa"/>
          </w:tcPr>
          <w:p w14:paraId="1B065CAD" w14:textId="77777777" w:rsidR="007A52A3" w:rsidRPr="00214121" w:rsidRDefault="007A52A3">
            <w:pPr>
              <w:keepNext/>
              <w:keepLines/>
              <w:spacing w:before="200"/>
              <w:outlineLvl w:val="8"/>
              <w:rPr>
                <w:rFonts w:ascii="Arial" w:hAnsi="Arial"/>
              </w:rPr>
            </w:pPr>
            <w:r w:rsidRPr="00214121">
              <w:rPr>
                <w:rFonts w:ascii="Arial" w:hAnsi="Arial"/>
              </w:rPr>
              <w:t>True and fair override</w:t>
            </w:r>
          </w:p>
        </w:tc>
        <w:tc>
          <w:tcPr>
            <w:tcW w:w="4505" w:type="dxa"/>
          </w:tcPr>
          <w:p w14:paraId="5E1E1158" w14:textId="77777777" w:rsidR="007A52A3" w:rsidRPr="00214121" w:rsidRDefault="007A52A3" w:rsidP="00214121">
            <w:pPr>
              <w:spacing w:line="360" w:lineRule="auto"/>
              <w:rPr>
                <w:rFonts w:ascii="Arial" w:hAnsi="Arial"/>
              </w:rPr>
            </w:pPr>
            <w:r w:rsidRPr="00214121">
              <w:rPr>
                <w:rFonts w:ascii="Arial" w:hAnsi="Arial"/>
              </w:rPr>
              <w:t>1AC.10</w:t>
            </w:r>
          </w:p>
        </w:tc>
      </w:tr>
      <w:tr w:rsidR="007A52A3" w:rsidRPr="007A52A3" w14:paraId="45CA212F" w14:textId="77777777" w:rsidTr="00B9592E">
        <w:tc>
          <w:tcPr>
            <w:tcW w:w="4505" w:type="dxa"/>
          </w:tcPr>
          <w:p w14:paraId="17E037B8" w14:textId="77777777" w:rsidR="007A52A3" w:rsidRPr="00214121" w:rsidRDefault="007A52A3">
            <w:pPr>
              <w:keepNext/>
              <w:keepLines/>
              <w:spacing w:before="200"/>
              <w:outlineLvl w:val="8"/>
              <w:rPr>
                <w:rFonts w:ascii="Arial" w:hAnsi="Arial"/>
              </w:rPr>
            </w:pPr>
            <w:r w:rsidRPr="00214121">
              <w:rPr>
                <w:rFonts w:ascii="Arial" w:hAnsi="Arial"/>
              </w:rPr>
              <w:t xml:space="preserve">Notes supporting the statement of financial position </w:t>
            </w:r>
          </w:p>
        </w:tc>
        <w:tc>
          <w:tcPr>
            <w:tcW w:w="4505" w:type="dxa"/>
          </w:tcPr>
          <w:p w14:paraId="0FC64ECF" w14:textId="77777777" w:rsidR="007A52A3" w:rsidRPr="00214121" w:rsidRDefault="007A52A3" w:rsidP="00214121">
            <w:pPr>
              <w:spacing w:line="360" w:lineRule="auto"/>
              <w:rPr>
                <w:rFonts w:ascii="Arial" w:hAnsi="Arial"/>
              </w:rPr>
            </w:pPr>
            <w:r w:rsidRPr="00214121">
              <w:rPr>
                <w:rFonts w:ascii="Arial" w:hAnsi="Arial"/>
              </w:rPr>
              <w:t>1AC.11</w:t>
            </w:r>
          </w:p>
        </w:tc>
      </w:tr>
      <w:tr w:rsidR="007A52A3" w:rsidRPr="007A52A3" w14:paraId="71CF0F0F" w14:textId="77777777" w:rsidTr="00B9592E">
        <w:tc>
          <w:tcPr>
            <w:tcW w:w="4505" w:type="dxa"/>
          </w:tcPr>
          <w:p w14:paraId="7667D493" w14:textId="77777777" w:rsidR="007A52A3" w:rsidRPr="00214121" w:rsidRDefault="007A52A3">
            <w:pPr>
              <w:keepNext/>
              <w:keepLines/>
              <w:spacing w:before="200"/>
              <w:outlineLvl w:val="8"/>
              <w:rPr>
                <w:rFonts w:ascii="Arial" w:hAnsi="Arial"/>
              </w:rPr>
            </w:pPr>
            <w:r w:rsidRPr="00214121">
              <w:rPr>
                <w:rFonts w:ascii="Arial" w:hAnsi="Arial"/>
              </w:rPr>
              <w:t xml:space="preserve">Fixed assets </w:t>
            </w:r>
          </w:p>
        </w:tc>
        <w:tc>
          <w:tcPr>
            <w:tcW w:w="4505" w:type="dxa"/>
          </w:tcPr>
          <w:p w14:paraId="0852F6B4" w14:textId="77777777" w:rsidR="007A52A3" w:rsidRPr="00214121" w:rsidRDefault="007A52A3" w:rsidP="00214121">
            <w:pPr>
              <w:spacing w:line="360" w:lineRule="auto"/>
              <w:rPr>
                <w:rFonts w:ascii="Arial" w:hAnsi="Arial"/>
              </w:rPr>
            </w:pPr>
            <w:r w:rsidRPr="00214121">
              <w:rPr>
                <w:rFonts w:ascii="Arial" w:hAnsi="Arial"/>
              </w:rPr>
              <w:t>1AC.12 to 1AC.13</w:t>
            </w:r>
          </w:p>
        </w:tc>
      </w:tr>
      <w:tr w:rsidR="007A52A3" w:rsidRPr="007A52A3" w14:paraId="65672D08" w14:textId="77777777" w:rsidTr="00B9592E">
        <w:tc>
          <w:tcPr>
            <w:tcW w:w="4505" w:type="dxa"/>
          </w:tcPr>
          <w:p w14:paraId="2F81B114" w14:textId="77777777" w:rsidR="007A52A3" w:rsidRPr="00214121" w:rsidRDefault="007A52A3">
            <w:pPr>
              <w:keepNext/>
              <w:keepLines/>
              <w:spacing w:before="200"/>
              <w:outlineLvl w:val="8"/>
              <w:rPr>
                <w:rFonts w:ascii="Arial" w:hAnsi="Arial"/>
              </w:rPr>
            </w:pPr>
            <w:r w:rsidRPr="00214121">
              <w:rPr>
                <w:rFonts w:ascii="Arial" w:hAnsi="Arial"/>
              </w:rPr>
              <w:t>Fixed assets measured at revalued amounts</w:t>
            </w:r>
          </w:p>
        </w:tc>
        <w:tc>
          <w:tcPr>
            <w:tcW w:w="4505" w:type="dxa"/>
          </w:tcPr>
          <w:p w14:paraId="1D732535" w14:textId="77777777" w:rsidR="007A52A3" w:rsidRPr="00214121" w:rsidRDefault="007A52A3" w:rsidP="00214121">
            <w:pPr>
              <w:spacing w:line="360" w:lineRule="auto"/>
              <w:rPr>
                <w:rFonts w:ascii="Arial" w:hAnsi="Arial"/>
              </w:rPr>
            </w:pPr>
            <w:r w:rsidRPr="00214121">
              <w:rPr>
                <w:rFonts w:ascii="Arial" w:hAnsi="Arial"/>
              </w:rPr>
              <w:t>1AC.14 to 1AC.18</w:t>
            </w:r>
          </w:p>
        </w:tc>
      </w:tr>
      <w:tr w:rsidR="007A52A3" w:rsidRPr="007A52A3" w14:paraId="09012F51" w14:textId="77777777" w:rsidTr="00B9592E">
        <w:tc>
          <w:tcPr>
            <w:tcW w:w="4505" w:type="dxa"/>
          </w:tcPr>
          <w:p w14:paraId="42377063" w14:textId="77777777" w:rsidR="007A52A3" w:rsidRPr="00214121" w:rsidRDefault="007A52A3">
            <w:pPr>
              <w:keepNext/>
              <w:keepLines/>
              <w:spacing w:before="200"/>
              <w:outlineLvl w:val="8"/>
              <w:rPr>
                <w:rFonts w:ascii="Arial" w:hAnsi="Arial"/>
              </w:rPr>
            </w:pPr>
            <w:r w:rsidRPr="00214121">
              <w:rPr>
                <w:rFonts w:ascii="Arial" w:hAnsi="Arial"/>
              </w:rPr>
              <w:t xml:space="preserve">Capitalisation of borrowing costs </w:t>
            </w:r>
          </w:p>
        </w:tc>
        <w:tc>
          <w:tcPr>
            <w:tcW w:w="4505" w:type="dxa"/>
          </w:tcPr>
          <w:p w14:paraId="63DF4FB1" w14:textId="77777777" w:rsidR="007A52A3" w:rsidRPr="00214121" w:rsidRDefault="007A52A3" w:rsidP="00214121">
            <w:pPr>
              <w:spacing w:line="360" w:lineRule="auto"/>
              <w:rPr>
                <w:rFonts w:ascii="Arial" w:hAnsi="Arial"/>
              </w:rPr>
            </w:pPr>
            <w:r w:rsidRPr="00214121">
              <w:rPr>
                <w:rFonts w:ascii="Arial" w:hAnsi="Arial"/>
              </w:rPr>
              <w:t>1AC.19</w:t>
            </w:r>
          </w:p>
        </w:tc>
      </w:tr>
      <w:tr w:rsidR="007A52A3" w:rsidRPr="007A52A3" w14:paraId="28E8878C" w14:textId="77777777" w:rsidTr="00B9592E">
        <w:tc>
          <w:tcPr>
            <w:tcW w:w="4505" w:type="dxa"/>
          </w:tcPr>
          <w:p w14:paraId="0D80ED20" w14:textId="77777777" w:rsidR="007A52A3" w:rsidRPr="00214121" w:rsidRDefault="007A52A3">
            <w:pPr>
              <w:keepNext/>
              <w:keepLines/>
              <w:spacing w:before="200"/>
              <w:outlineLvl w:val="8"/>
              <w:rPr>
                <w:rFonts w:ascii="Arial" w:hAnsi="Arial"/>
              </w:rPr>
            </w:pPr>
            <w:r w:rsidRPr="00214121">
              <w:rPr>
                <w:rFonts w:ascii="Arial" w:hAnsi="Arial"/>
              </w:rPr>
              <w:t>Impairment of assets</w:t>
            </w:r>
          </w:p>
        </w:tc>
        <w:tc>
          <w:tcPr>
            <w:tcW w:w="4505" w:type="dxa"/>
          </w:tcPr>
          <w:p w14:paraId="2615AF08" w14:textId="77777777" w:rsidR="007A52A3" w:rsidRPr="00214121" w:rsidRDefault="007A52A3" w:rsidP="00214121">
            <w:pPr>
              <w:spacing w:line="360" w:lineRule="auto"/>
              <w:rPr>
                <w:rFonts w:ascii="Arial" w:hAnsi="Arial"/>
              </w:rPr>
            </w:pPr>
            <w:r w:rsidRPr="00214121">
              <w:rPr>
                <w:rFonts w:ascii="Arial" w:hAnsi="Arial"/>
              </w:rPr>
              <w:t>1AC.20 to 1AC.21</w:t>
            </w:r>
          </w:p>
        </w:tc>
      </w:tr>
      <w:tr w:rsidR="007A52A3" w:rsidRPr="007A52A3" w14:paraId="54A960FC" w14:textId="77777777" w:rsidTr="00B9592E">
        <w:tc>
          <w:tcPr>
            <w:tcW w:w="4505" w:type="dxa"/>
          </w:tcPr>
          <w:p w14:paraId="7BA4BDD4" w14:textId="77777777" w:rsidR="007A52A3" w:rsidRPr="00214121" w:rsidRDefault="007A52A3">
            <w:pPr>
              <w:keepNext/>
              <w:keepLines/>
              <w:spacing w:before="200"/>
              <w:outlineLvl w:val="8"/>
              <w:rPr>
                <w:rFonts w:ascii="Arial" w:hAnsi="Arial"/>
              </w:rPr>
            </w:pPr>
            <w:r w:rsidRPr="00214121">
              <w:rPr>
                <w:rFonts w:ascii="Arial" w:hAnsi="Arial"/>
              </w:rPr>
              <w:t xml:space="preserve">Fair value measurement </w:t>
            </w:r>
          </w:p>
        </w:tc>
        <w:tc>
          <w:tcPr>
            <w:tcW w:w="4505" w:type="dxa"/>
          </w:tcPr>
          <w:p w14:paraId="7A136227" w14:textId="77777777" w:rsidR="007A52A3" w:rsidRPr="00214121" w:rsidRDefault="007A52A3" w:rsidP="00214121">
            <w:pPr>
              <w:spacing w:line="360" w:lineRule="auto"/>
              <w:rPr>
                <w:rFonts w:ascii="Arial" w:hAnsi="Arial"/>
              </w:rPr>
            </w:pPr>
            <w:r w:rsidRPr="00214121">
              <w:rPr>
                <w:rFonts w:ascii="Arial" w:hAnsi="Arial"/>
              </w:rPr>
              <w:t>1AC.22 to 1AC.25</w:t>
            </w:r>
          </w:p>
        </w:tc>
      </w:tr>
      <w:tr w:rsidR="007A52A3" w:rsidRPr="007A52A3" w14:paraId="08416A4F" w14:textId="77777777" w:rsidTr="00B9592E">
        <w:tc>
          <w:tcPr>
            <w:tcW w:w="4505" w:type="dxa"/>
          </w:tcPr>
          <w:p w14:paraId="00FA9644" w14:textId="77777777" w:rsidR="007A52A3" w:rsidRPr="00214121" w:rsidRDefault="007A52A3">
            <w:pPr>
              <w:keepNext/>
              <w:keepLines/>
              <w:spacing w:before="200"/>
              <w:outlineLvl w:val="8"/>
              <w:rPr>
                <w:rFonts w:ascii="Arial" w:hAnsi="Arial"/>
              </w:rPr>
            </w:pPr>
            <w:r w:rsidRPr="00214121">
              <w:rPr>
                <w:rFonts w:ascii="Arial" w:hAnsi="Arial"/>
              </w:rPr>
              <w:t xml:space="preserve">Financial instruments measured at fair value </w:t>
            </w:r>
          </w:p>
        </w:tc>
        <w:tc>
          <w:tcPr>
            <w:tcW w:w="4505" w:type="dxa"/>
          </w:tcPr>
          <w:p w14:paraId="286365B4" w14:textId="77777777" w:rsidR="007A52A3" w:rsidRPr="00214121" w:rsidRDefault="007A52A3" w:rsidP="00214121">
            <w:pPr>
              <w:spacing w:line="360" w:lineRule="auto"/>
              <w:rPr>
                <w:rFonts w:ascii="Arial" w:hAnsi="Arial"/>
              </w:rPr>
            </w:pPr>
            <w:r w:rsidRPr="00214121">
              <w:rPr>
                <w:rFonts w:ascii="Arial" w:hAnsi="Arial"/>
              </w:rPr>
              <w:t>1AC.26</w:t>
            </w:r>
          </w:p>
        </w:tc>
      </w:tr>
      <w:tr w:rsidR="007A52A3" w:rsidRPr="007A52A3" w14:paraId="197800DA" w14:textId="77777777" w:rsidTr="00B9592E">
        <w:tc>
          <w:tcPr>
            <w:tcW w:w="4505" w:type="dxa"/>
          </w:tcPr>
          <w:p w14:paraId="5098155A" w14:textId="77777777" w:rsidR="007A52A3" w:rsidRPr="00214121" w:rsidRDefault="007A52A3">
            <w:pPr>
              <w:keepNext/>
              <w:keepLines/>
              <w:spacing w:before="200"/>
              <w:outlineLvl w:val="8"/>
              <w:rPr>
                <w:rFonts w:ascii="Arial" w:hAnsi="Arial"/>
              </w:rPr>
            </w:pPr>
            <w:r w:rsidRPr="00214121">
              <w:rPr>
                <w:rFonts w:ascii="Arial" w:hAnsi="Arial"/>
              </w:rPr>
              <w:t>Indebtedness, guarantees and financial commitments</w:t>
            </w:r>
          </w:p>
        </w:tc>
        <w:tc>
          <w:tcPr>
            <w:tcW w:w="4505" w:type="dxa"/>
          </w:tcPr>
          <w:p w14:paraId="75780C2D" w14:textId="77777777" w:rsidR="007A52A3" w:rsidRPr="00214121" w:rsidRDefault="007A52A3" w:rsidP="00214121">
            <w:pPr>
              <w:spacing w:line="360" w:lineRule="auto"/>
              <w:rPr>
                <w:rFonts w:ascii="Arial" w:hAnsi="Arial"/>
              </w:rPr>
            </w:pPr>
            <w:r w:rsidRPr="00214121">
              <w:rPr>
                <w:rFonts w:ascii="Arial" w:hAnsi="Arial"/>
              </w:rPr>
              <w:t>1AC.27 to 1AC.31</w:t>
            </w:r>
          </w:p>
        </w:tc>
      </w:tr>
      <w:tr w:rsidR="007A52A3" w:rsidRPr="007A52A3" w14:paraId="3D3B72CE" w14:textId="77777777" w:rsidTr="00B9592E">
        <w:tc>
          <w:tcPr>
            <w:tcW w:w="4505" w:type="dxa"/>
          </w:tcPr>
          <w:p w14:paraId="2BC57141" w14:textId="77777777" w:rsidR="007A52A3" w:rsidRPr="00214121" w:rsidRDefault="007A52A3">
            <w:pPr>
              <w:keepNext/>
              <w:keepLines/>
              <w:spacing w:before="200"/>
              <w:outlineLvl w:val="8"/>
              <w:rPr>
                <w:rFonts w:ascii="Arial" w:hAnsi="Arial"/>
              </w:rPr>
            </w:pPr>
            <w:r w:rsidRPr="00214121">
              <w:rPr>
                <w:rFonts w:ascii="Arial" w:hAnsi="Arial"/>
              </w:rPr>
              <w:t>Notes supporting the income statement</w:t>
            </w:r>
          </w:p>
        </w:tc>
        <w:tc>
          <w:tcPr>
            <w:tcW w:w="4505" w:type="dxa"/>
          </w:tcPr>
          <w:p w14:paraId="50969E15" w14:textId="77777777" w:rsidR="007A52A3" w:rsidRPr="00214121" w:rsidRDefault="007A52A3" w:rsidP="00214121">
            <w:pPr>
              <w:spacing w:line="360" w:lineRule="auto"/>
              <w:rPr>
                <w:rFonts w:ascii="Arial" w:hAnsi="Arial"/>
              </w:rPr>
            </w:pPr>
            <w:r w:rsidRPr="00214121">
              <w:rPr>
                <w:rFonts w:ascii="Arial" w:hAnsi="Arial"/>
              </w:rPr>
              <w:t>1AC.32 to 1AC.33</w:t>
            </w:r>
          </w:p>
        </w:tc>
      </w:tr>
      <w:tr w:rsidR="007A52A3" w:rsidRPr="007A52A3" w14:paraId="7C93BB08" w14:textId="77777777" w:rsidTr="00B9592E">
        <w:tc>
          <w:tcPr>
            <w:tcW w:w="4505" w:type="dxa"/>
          </w:tcPr>
          <w:p w14:paraId="2CB0273F" w14:textId="77777777" w:rsidR="007A52A3" w:rsidRPr="00214121" w:rsidRDefault="007A52A3">
            <w:pPr>
              <w:keepNext/>
              <w:keepLines/>
              <w:spacing w:before="200"/>
              <w:outlineLvl w:val="8"/>
              <w:rPr>
                <w:rFonts w:ascii="Arial" w:hAnsi="Arial"/>
              </w:rPr>
            </w:pPr>
            <w:r w:rsidRPr="00214121">
              <w:rPr>
                <w:rFonts w:ascii="Arial" w:hAnsi="Arial"/>
              </w:rPr>
              <w:t xml:space="preserve">Related party disclosures </w:t>
            </w:r>
          </w:p>
        </w:tc>
        <w:tc>
          <w:tcPr>
            <w:tcW w:w="4505" w:type="dxa"/>
          </w:tcPr>
          <w:p w14:paraId="7CDE70A1" w14:textId="77777777" w:rsidR="007A52A3" w:rsidRPr="00214121" w:rsidRDefault="007A52A3" w:rsidP="00214121">
            <w:pPr>
              <w:spacing w:line="360" w:lineRule="auto"/>
              <w:rPr>
                <w:rFonts w:ascii="Arial" w:hAnsi="Arial"/>
              </w:rPr>
            </w:pPr>
            <w:r w:rsidRPr="00214121">
              <w:rPr>
                <w:rFonts w:ascii="Arial" w:hAnsi="Arial"/>
              </w:rPr>
              <w:t>1AC.34 to 1AC.36</w:t>
            </w:r>
          </w:p>
        </w:tc>
      </w:tr>
      <w:tr w:rsidR="007A52A3" w:rsidRPr="007A52A3" w14:paraId="3166C01C" w14:textId="77777777" w:rsidTr="00B9592E">
        <w:tc>
          <w:tcPr>
            <w:tcW w:w="4505" w:type="dxa"/>
          </w:tcPr>
          <w:p w14:paraId="4A7B2D7F" w14:textId="77777777" w:rsidR="007A52A3" w:rsidRPr="00214121" w:rsidRDefault="007A52A3">
            <w:pPr>
              <w:keepNext/>
              <w:keepLines/>
              <w:spacing w:before="200"/>
              <w:outlineLvl w:val="8"/>
              <w:rPr>
                <w:rFonts w:ascii="Arial" w:hAnsi="Arial"/>
              </w:rPr>
            </w:pPr>
            <w:r w:rsidRPr="00214121">
              <w:rPr>
                <w:rFonts w:ascii="Arial" w:hAnsi="Arial"/>
              </w:rPr>
              <w:t>Other</w:t>
            </w:r>
          </w:p>
        </w:tc>
        <w:tc>
          <w:tcPr>
            <w:tcW w:w="4505" w:type="dxa"/>
          </w:tcPr>
          <w:p w14:paraId="728D4A42" w14:textId="77777777" w:rsidR="007A52A3" w:rsidRPr="00214121" w:rsidRDefault="007A52A3" w:rsidP="00214121">
            <w:pPr>
              <w:spacing w:line="360" w:lineRule="auto"/>
              <w:rPr>
                <w:rFonts w:ascii="Arial" w:hAnsi="Arial"/>
              </w:rPr>
            </w:pPr>
            <w:r w:rsidRPr="00214121">
              <w:rPr>
                <w:rFonts w:ascii="Arial" w:hAnsi="Arial"/>
              </w:rPr>
              <w:t>1AC.37 to 1AC.39</w:t>
            </w:r>
          </w:p>
        </w:tc>
      </w:tr>
    </w:tbl>
    <w:p w14:paraId="4DE4CF02" w14:textId="77777777" w:rsidR="007A52A3" w:rsidRPr="00214121" w:rsidRDefault="007A52A3" w:rsidP="00214121">
      <w:pPr>
        <w:spacing w:line="360" w:lineRule="auto"/>
        <w:rPr>
          <w:rFonts w:ascii="Arial" w:hAnsi="Arial"/>
        </w:rPr>
      </w:pPr>
    </w:p>
    <w:p w14:paraId="5DE65B96" w14:textId="2CCF89CD" w:rsidR="007A52A3" w:rsidRPr="00214121" w:rsidRDefault="007A52A3" w:rsidP="00214121">
      <w:pPr>
        <w:spacing w:line="360" w:lineRule="auto"/>
        <w:rPr>
          <w:rFonts w:ascii="Arial" w:hAnsi="Arial"/>
        </w:rPr>
      </w:pPr>
      <w:r w:rsidRPr="00214121">
        <w:rPr>
          <w:rFonts w:ascii="Arial" w:hAnsi="Arial"/>
        </w:rPr>
        <w:t>The requirement to prepare financial statements which give a true and fair view is contained in section 393 of the Companies Act 2006 and there have not been any changes to this concept.</w:t>
      </w:r>
      <w:r>
        <w:rPr>
          <w:rFonts w:ascii="Arial" w:hAnsi="Arial"/>
        </w:rPr>
        <w:t xml:space="preserve"> </w:t>
      </w:r>
      <w:r w:rsidRPr="00214121">
        <w:rPr>
          <w:rFonts w:ascii="Arial" w:hAnsi="Arial"/>
        </w:rPr>
        <w:t>The directors of a small company still have a legal duty to ensure the entity’s financial statements give a true and fair view</w:t>
      </w:r>
      <w:r w:rsidR="00402F70">
        <w:rPr>
          <w:rFonts w:ascii="Arial" w:hAnsi="Arial"/>
        </w:rPr>
        <w:t>,</w:t>
      </w:r>
      <w:r w:rsidRPr="00214121">
        <w:rPr>
          <w:rFonts w:ascii="Arial" w:hAnsi="Arial"/>
        </w:rPr>
        <w:t xml:space="preserve"> and they will be committing a criminal offence if they fail to comply with the true and fair requirement.</w:t>
      </w:r>
      <w:r>
        <w:rPr>
          <w:rFonts w:ascii="Arial" w:hAnsi="Arial"/>
        </w:rPr>
        <w:t xml:space="preserve"> </w:t>
      </w:r>
      <w:r w:rsidRPr="00214121">
        <w:rPr>
          <w:rFonts w:ascii="Arial" w:hAnsi="Arial"/>
        </w:rPr>
        <w:t xml:space="preserve">The </w:t>
      </w:r>
      <w:r w:rsidR="00890E7D">
        <w:rPr>
          <w:rFonts w:ascii="Arial" w:hAnsi="Arial"/>
        </w:rPr>
        <w:t>FRC</w:t>
      </w:r>
      <w:r w:rsidRPr="00214121">
        <w:rPr>
          <w:rFonts w:ascii="Arial" w:hAnsi="Arial"/>
        </w:rPr>
        <w:t xml:space="preserve"> </w:t>
      </w:r>
      <w:r w:rsidR="00890E7D">
        <w:rPr>
          <w:rFonts w:ascii="Arial" w:hAnsi="Arial"/>
        </w:rPr>
        <w:t>has</w:t>
      </w:r>
      <w:r w:rsidRPr="00214121">
        <w:rPr>
          <w:rFonts w:ascii="Arial" w:hAnsi="Arial"/>
        </w:rPr>
        <w:t xml:space="preserve"> acknowledged that this will place an added burden on directors because merely applying the minimum legal requirements may not be sufficient in order to achieve a true and fair </w:t>
      </w:r>
      <w:r w:rsidRPr="00214121">
        <w:rPr>
          <w:rFonts w:ascii="Arial" w:hAnsi="Arial"/>
        </w:rPr>
        <w:lastRenderedPageBreak/>
        <w:t>view</w:t>
      </w:r>
      <w:r w:rsidR="00244EF4">
        <w:rPr>
          <w:rFonts w:ascii="Arial" w:hAnsi="Arial"/>
        </w:rPr>
        <w:t>,</w:t>
      </w:r>
      <w:r w:rsidRPr="00214121">
        <w:rPr>
          <w:rFonts w:ascii="Arial" w:hAnsi="Arial"/>
        </w:rPr>
        <w:t xml:space="preserve"> and in this respect additional disclosures beyond the requirements of the law will be needed.</w:t>
      </w:r>
    </w:p>
    <w:p w14:paraId="69547DDB" w14:textId="77777777" w:rsidR="007A52A3" w:rsidRPr="00214121" w:rsidRDefault="007A52A3" w:rsidP="00214121">
      <w:pPr>
        <w:spacing w:line="360" w:lineRule="auto"/>
        <w:rPr>
          <w:rFonts w:ascii="Arial" w:hAnsi="Arial"/>
        </w:rPr>
      </w:pPr>
    </w:p>
    <w:p w14:paraId="696D17C4" w14:textId="45A06209" w:rsidR="007A52A3" w:rsidRPr="00214121" w:rsidRDefault="007A52A3" w:rsidP="00214121">
      <w:pPr>
        <w:spacing w:line="360" w:lineRule="auto"/>
        <w:rPr>
          <w:rFonts w:ascii="Arial" w:hAnsi="Arial"/>
        </w:rPr>
      </w:pPr>
      <w:r w:rsidRPr="00214121">
        <w:rPr>
          <w:rFonts w:ascii="Arial" w:hAnsi="Arial"/>
        </w:rPr>
        <w:t xml:space="preserve">The </w:t>
      </w:r>
      <w:r w:rsidR="00244EF4">
        <w:rPr>
          <w:rFonts w:ascii="Arial" w:hAnsi="Arial"/>
        </w:rPr>
        <w:t>d</w:t>
      </w:r>
      <w:r w:rsidRPr="00214121">
        <w:rPr>
          <w:rFonts w:ascii="Arial" w:hAnsi="Arial"/>
        </w:rPr>
        <w:t xml:space="preserve">irective restricts </w:t>
      </w:r>
      <w:r w:rsidR="00244EF4">
        <w:rPr>
          <w:rFonts w:ascii="Arial" w:hAnsi="Arial"/>
        </w:rPr>
        <w:t>m</w:t>
      </w:r>
      <w:r w:rsidRPr="00214121">
        <w:rPr>
          <w:rFonts w:ascii="Arial" w:hAnsi="Arial"/>
        </w:rPr>
        <w:t xml:space="preserve">ember </w:t>
      </w:r>
      <w:r w:rsidR="00244EF4">
        <w:rPr>
          <w:rFonts w:ascii="Arial" w:hAnsi="Arial"/>
        </w:rPr>
        <w:t>s</w:t>
      </w:r>
      <w:r w:rsidRPr="00214121">
        <w:rPr>
          <w:rFonts w:ascii="Arial" w:hAnsi="Arial"/>
        </w:rPr>
        <w:t>tates from imposing additional disclosures over and above those required by law.</w:t>
      </w:r>
      <w:r>
        <w:rPr>
          <w:rFonts w:ascii="Arial" w:hAnsi="Arial"/>
        </w:rPr>
        <w:t xml:space="preserve"> </w:t>
      </w:r>
      <w:r w:rsidRPr="00214121">
        <w:rPr>
          <w:rFonts w:ascii="Arial" w:hAnsi="Arial"/>
        </w:rPr>
        <w:t xml:space="preserve">However, as noted above, the mere application of the legally required minimum may not be sufficient to comply with the requirement to prepare true and fair financial statements. </w:t>
      </w:r>
    </w:p>
    <w:p w14:paraId="1935B8E9" w14:textId="77777777" w:rsidR="007A52A3" w:rsidRPr="00214121" w:rsidRDefault="007A52A3" w:rsidP="00214121">
      <w:pPr>
        <w:spacing w:line="360" w:lineRule="auto"/>
        <w:rPr>
          <w:rFonts w:ascii="Arial" w:hAnsi="Arial"/>
        </w:rPr>
      </w:pPr>
    </w:p>
    <w:p w14:paraId="3D037C0A" w14:textId="5A170309" w:rsidR="007A52A3" w:rsidRPr="00214121" w:rsidRDefault="007A52A3" w:rsidP="00214121">
      <w:pPr>
        <w:spacing w:line="360" w:lineRule="auto"/>
        <w:rPr>
          <w:rFonts w:ascii="Arial" w:hAnsi="Arial"/>
        </w:rPr>
      </w:pPr>
      <w:r w:rsidRPr="00214121">
        <w:rPr>
          <w:rFonts w:ascii="Arial" w:hAnsi="Arial"/>
        </w:rPr>
        <w:t xml:space="preserve">In light of this, the FRC </w:t>
      </w:r>
      <w:r w:rsidR="00C41E96">
        <w:rPr>
          <w:rFonts w:ascii="Arial" w:hAnsi="Arial"/>
        </w:rPr>
        <w:t>has</w:t>
      </w:r>
      <w:r w:rsidRPr="00214121">
        <w:rPr>
          <w:rFonts w:ascii="Arial" w:hAnsi="Arial"/>
        </w:rPr>
        <w:t xml:space="preserve"> included Appendix D to </w:t>
      </w:r>
      <w:r w:rsidR="0064479C">
        <w:rPr>
          <w:rFonts w:ascii="Arial" w:hAnsi="Arial"/>
        </w:rPr>
        <w:t>s</w:t>
      </w:r>
      <w:r w:rsidRPr="00214121">
        <w:rPr>
          <w:rFonts w:ascii="Arial" w:hAnsi="Arial"/>
        </w:rPr>
        <w:t>ection 1A</w:t>
      </w:r>
      <w:r w:rsidR="001A1656">
        <w:rPr>
          <w:rFonts w:ascii="Arial" w:hAnsi="Arial"/>
        </w:rPr>
        <w:t>,</w:t>
      </w:r>
      <w:r w:rsidRPr="00214121">
        <w:rPr>
          <w:rFonts w:ascii="Arial" w:hAnsi="Arial"/>
        </w:rPr>
        <w:t xml:space="preserve"> which outlines five </w:t>
      </w:r>
      <w:r w:rsidRPr="00214121">
        <w:rPr>
          <w:rFonts w:ascii="Arial" w:hAnsi="Arial"/>
          <w:b/>
        </w:rPr>
        <w:t xml:space="preserve">encouraged </w:t>
      </w:r>
      <w:r w:rsidRPr="00214121">
        <w:rPr>
          <w:rFonts w:ascii="Arial" w:hAnsi="Arial"/>
        </w:rPr>
        <w:t>disclosures which small entities should consider making</w:t>
      </w:r>
      <w:r w:rsidR="001A1656">
        <w:rPr>
          <w:rFonts w:ascii="Arial" w:hAnsi="Arial"/>
        </w:rPr>
        <w:t>,</w:t>
      </w:r>
      <w:r w:rsidRPr="00214121">
        <w:rPr>
          <w:rFonts w:ascii="Arial" w:hAnsi="Arial"/>
        </w:rPr>
        <w:t xml:space="preserve"> as follows:</w:t>
      </w:r>
    </w:p>
    <w:p w14:paraId="49BA6AB7" w14:textId="77777777" w:rsidR="007A52A3" w:rsidRPr="00214121" w:rsidRDefault="007A52A3" w:rsidP="00214121">
      <w:pPr>
        <w:spacing w:line="360" w:lineRule="auto"/>
        <w:rPr>
          <w:rFonts w:ascii="Arial" w:hAnsi="Arial"/>
        </w:rPr>
      </w:pPr>
    </w:p>
    <w:p w14:paraId="0F9CDB94" w14:textId="01A95F1F" w:rsidR="007A52A3" w:rsidRPr="00214121" w:rsidRDefault="001A1656" w:rsidP="00214121">
      <w:pPr>
        <w:spacing w:line="360" w:lineRule="auto"/>
        <w:ind w:left="567" w:hanging="567"/>
        <w:rPr>
          <w:rFonts w:ascii="Arial" w:hAnsi="Arial"/>
        </w:rPr>
      </w:pPr>
      <w:r>
        <w:rPr>
          <w:rFonts w:ascii="Arial" w:hAnsi="Arial"/>
        </w:rPr>
        <w:t xml:space="preserve">a. </w:t>
      </w:r>
      <w:r>
        <w:rPr>
          <w:rFonts w:ascii="Arial" w:hAnsi="Arial"/>
        </w:rPr>
        <w:tab/>
      </w:r>
      <w:r w:rsidR="007A52A3" w:rsidRPr="00214121">
        <w:rPr>
          <w:rFonts w:ascii="Arial" w:hAnsi="Arial"/>
        </w:rPr>
        <w:t>a statement of compliance with FRS 102 as set out in paragraph 3.3,</w:t>
      </w:r>
      <w:r w:rsidR="00806806" w:rsidRPr="00932923">
        <w:rPr>
          <w:rFonts w:ascii="Arial" w:hAnsi="Arial"/>
        </w:rPr>
        <w:t xml:space="preserve"> adapted to refer to </w:t>
      </w:r>
      <w:r w:rsidR="0064479C">
        <w:rPr>
          <w:rFonts w:ascii="Arial" w:hAnsi="Arial"/>
        </w:rPr>
        <w:t>s</w:t>
      </w:r>
      <w:r w:rsidR="00806806" w:rsidRPr="00932923">
        <w:rPr>
          <w:rFonts w:ascii="Arial" w:hAnsi="Arial"/>
        </w:rPr>
        <w:t>ection 1A</w:t>
      </w:r>
    </w:p>
    <w:p w14:paraId="0FA0823A" w14:textId="62BCFFDB" w:rsidR="007A52A3" w:rsidRPr="00214121" w:rsidRDefault="001A1656" w:rsidP="00214121">
      <w:pPr>
        <w:spacing w:line="360" w:lineRule="auto"/>
        <w:ind w:left="567" w:hanging="567"/>
        <w:rPr>
          <w:rFonts w:ascii="Arial" w:hAnsi="Arial"/>
        </w:rPr>
      </w:pPr>
      <w:r>
        <w:rPr>
          <w:rFonts w:ascii="Arial" w:hAnsi="Arial"/>
        </w:rPr>
        <w:t xml:space="preserve">b. </w:t>
      </w:r>
      <w:r w:rsidR="00806806">
        <w:rPr>
          <w:rFonts w:ascii="Arial" w:hAnsi="Arial"/>
        </w:rPr>
        <w:tab/>
      </w:r>
      <w:r w:rsidR="007A52A3" w:rsidRPr="00214121">
        <w:rPr>
          <w:rFonts w:ascii="Arial" w:hAnsi="Arial"/>
        </w:rPr>
        <w:t xml:space="preserve">a statement that it is a public benefit entity </w:t>
      </w:r>
      <w:r w:rsidR="00806806" w:rsidRPr="00932923">
        <w:rPr>
          <w:rFonts w:ascii="Arial" w:hAnsi="Arial"/>
        </w:rPr>
        <w:t>as set out in paragraph PBE3.3A</w:t>
      </w:r>
    </w:p>
    <w:p w14:paraId="1BB0AD29" w14:textId="13EFD762" w:rsidR="007A52A3" w:rsidRPr="00214121" w:rsidRDefault="001A1656" w:rsidP="00214121">
      <w:pPr>
        <w:spacing w:line="360" w:lineRule="auto"/>
        <w:ind w:left="567" w:hanging="567"/>
        <w:rPr>
          <w:rFonts w:ascii="Arial" w:hAnsi="Arial"/>
        </w:rPr>
      </w:pPr>
      <w:r>
        <w:rPr>
          <w:rFonts w:ascii="Arial" w:hAnsi="Arial"/>
        </w:rPr>
        <w:t xml:space="preserve">c. </w:t>
      </w:r>
      <w:r w:rsidR="00806806">
        <w:rPr>
          <w:rFonts w:ascii="Arial" w:hAnsi="Arial"/>
        </w:rPr>
        <w:tab/>
      </w:r>
      <w:r w:rsidR="007A52A3" w:rsidRPr="00214121">
        <w:rPr>
          <w:rFonts w:ascii="Arial" w:hAnsi="Arial"/>
        </w:rPr>
        <w:t>the disclosures relating to going concern set out in par</w:t>
      </w:r>
      <w:r w:rsidR="00806806" w:rsidRPr="00932923">
        <w:rPr>
          <w:rFonts w:ascii="Arial" w:hAnsi="Arial"/>
        </w:rPr>
        <w:t>agraph 3.9</w:t>
      </w:r>
    </w:p>
    <w:p w14:paraId="63EFB950" w14:textId="265DDB56" w:rsidR="007A52A3" w:rsidRPr="00214121" w:rsidRDefault="001A1656" w:rsidP="00214121">
      <w:pPr>
        <w:spacing w:line="360" w:lineRule="auto"/>
        <w:ind w:left="567" w:hanging="567"/>
        <w:rPr>
          <w:rFonts w:ascii="Arial" w:hAnsi="Arial"/>
        </w:rPr>
      </w:pPr>
      <w:r>
        <w:rPr>
          <w:rFonts w:ascii="Arial" w:hAnsi="Arial"/>
        </w:rPr>
        <w:t xml:space="preserve">d. </w:t>
      </w:r>
      <w:r w:rsidR="00806806">
        <w:rPr>
          <w:rFonts w:ascii="Arial" w:hAnsi="Arial"/>
        </w:rPr>
        <w:tab/>
      </w:r>
      <w:r w:rsidR="007A52A3" w:rsidRPr="00214121">
        <w:rPr>
          <w:rFonts w:ascii="Arial" w:hAnsi="Arial"/>
        </w:rPr>
        <w:t>dividends declared and paid or payable during the period (for example, as s</w:t>
      </w:r>
      <w:r w:rsidR="00806806" w:rsidRPr="00932923">
        <w:rPr>
          <w:rFonts w:ascii="Arial" w:hAnsi="Arial"/>
        </w:rPr>
        <w:t>et out in paragraph 6.5(b))</w:t>
      </w:r>
    </w:p>
    <w:p w14:paraId="7EA50D79" w14:textId="0CD08894" w:rsidR="007A52A3" w:rsidRPr="00214121" w:rsidRDefault="001A1656" w:rsidP="00214121">
      <w:pPr>
        <w:spacing w:line="360" w:lineRule="auto"/>
        <w:ind w:left="567" w:hanging="567"/>
        <w:rPr>
          <w:rFonts w:ascii="Arial" w:hAnsi="Arial"/>
        </w:rPr>
      </w:pPr>
      <w:r>
        <w:rPr>
          <w:rFonts w:ascii="Arial" w:hAnsi="Arial"/>
        </w:rPr>
        <w:t xml:space="preserve">e. </w:t>
      </w:r>
      <w:r w:rsidR="00806806">
        <w:rPr>
          <w:rFonts w:ascii="Arial" w:hAnsi="Arial"/>
        </w:rPr>
        <w:tab/>
      </w:r>
      <w:r w:rsidR="007A52A3" w:rsidRPr="00214121">
        <w:rPr>
          <w:rFonts w:ascii="Arial" w:hAnsi="Arial"/>
        </w:rPr>
        <w:t>on first-time adoption of FRS 102, an explanation of how the transition has affected its financial position and financial performance as set out in paragraph 35.13.</w:t>
      </w:r>
    </w:p>
    <w:p w14:paraId="1D02CBE0" w14:textId="77777777" w:rsidR="007A52A3" w:rsidRPr="00214121" w:rsidRDefault="007A52A3" w:rsidP="00214121">
      <w:pPr>
        <w:spacing w:line="360" w:lineRule="auto"/>
        <w:rPr>
          <w:rFonts w:ascii="Arial" w:hAnsi="Arial"/>
        </w:rPr>
      </w:pPr>
    </w:p>
    <w:p w14:paraId="0F542007" w14:textId="13337D8A" w:rsidR="007A52A3" w:rsidRPr="00214121" w:rsidRDefault="007A52A3" w:rsidP="00214121">
      <w:pPr>
        <w:spacing w:line="360" w:lineRule="auto"/>
        <w:rPr>
          <w:rFonts w:ascii="Arial" w:hAnsi="Arial"/>
        </w:rPr>
      </w:pPr>
      <w:r w:rsidRPr="00214121">
        <w:rPr>
          <w:rFonts w:ascii="Arial" w:hAnsi="Arial"/>
        </w:rPr>
        <w:t>Paragraph 1A.17 of FRS 102 acknowledges that</w:t>
      </w:r>
      <w:r w:rsidR="009D649D">
        <w:rPr>
          <w:rFonts w:ascii="Arial" w:hAnsi="Arial"/>
        </w:rPr>
        <w:t>,</w:t>
      </w:r>
      <w:r w:rsidRPr="00214121">
        <w:rPr>
          <w:rFonts w:ascii="Arial" w:hAnsi="Arial"/>
        </w:rPr>
        <w:t xml:space="preserve"> while a small entity is not required to comply with the disclosure requirements of </w:t>
      </w:r>
      <w:r w:rsidR="0029743D">
        <w:rPr>
          <w:rFonts w:ascii="Arial" w:hAnsi="Arial"/>
        </w:rPr>
        <w:t>s</w:t>
      </w:r>
      <w:r w:rsidRPr="00214121">
        <w:rPr>
          <w:rFonts w:ascii="Arial" w:hAnsi="Arial"/>
        </w:rPr>
        <w:t xml:space="preserve">ection 3 (to the extent set out in paragraph 1A.7) and </w:t>
      </w:r>
      <w:r w:rsidR="0029743D">
        <w:rPr>
          <w:rFonts w:ascii="Arial" w:hAnsi="Arial"/>
        </w:rPr>
        <w:t>s</w:t>
      </w:r>
      <w:r w:rsidRPr="00214121">
        <w:rPr>
          <w:rFonts w:ascii="Arial" w:hAnsi="Arial"/>
        </w:rPr>
        <w:t>ections 8 to 35 of FRS 102, it does refer to the disclosure requirements of those specific sections as usually being considered relevant to giving a true and fair view.</w:t>
      </w:r>
      <w:r>
        <w:rPr>
          <w:rFonts w:ascii="Arial" w:hAnsi="Arial"/>
        </w:rPr>
        <w:t xml:space="preserve"> </w:t>
      </w:r>
      <w:r w:rsidRPr="00214121">
        <w:rPr>
          <w:rFonts w:ascii="Arial" w:hAnsi="Arial"/>
        </w:rPr>
        <w:t>As a result, paragraph 1A.17 advises small entities to consider and provide any of those disclosures which are relevant to material transactions, other events or conditions of the small entity in order to meet the requirement to prepare true and fair financial statements.</w:t>
      </w:r>
      <w:r>
        <w:rPr>
          <w:rFonts w:ascii="Arial" w:hAnsi="Arial"/>
        </w:rPr>
        <w:t xml:space="preserve"> </w:t>
      </w:r>
      <w:r w:rsidRPr="00214121">
        <w:rPr>
          <w:rFonts w:ascii="Arial" w:hAnsi="Arial"/>
        </w:rPr>
        <w:t xml:space="preserve">Conversely, a small entity need not provide specific disclosures if the information is not material. </w:t>
      </w:r>
    </w:p>
    <w:p w14:paraId="6865BF57" w14:textId="77777777" w:rsidR="003C0A54" w:rsidRDefault="003C0A54" w:rsidP="00214121">
      <w:pPr>
        <w:pStyle w:val="Heading1"/>
        <w:spacing w:line="360" w:lineRule="auto"/>
        <w:rPr>
          <w:rFonts w:ascii="Arial" w:hAnsi="Arial"/>
        </w:rPr>
      </w:pPr>
    </w:p>
    <w:p w14:paraId="7EB50BEC" w14:textId="226A50DD" w:rsidR="007A52A3" w:rsidRPr="00214121" w:rsidRDefault="007A52A3" w:rsidP="00214121">
      <w:pPr>
        <w:pStyle w:val="Heading1"/>
        <w:spacing w:line="360" w:lineRule="auto"/>
        <w:rPr>
          <w:rFonts w:ascii="Arial" w:hAnsi="Arial"/>
          <w:caps/>
        </w:rPr>
      </w:pPr>
      <w:r w:rsidRPr="00214121">
        <w:rPr>
          <w:rFonts w:ascii="Arial" w:hAnsi="Arial"/>
          <w:caps/>
        </w:rPr>
        <w:t>Transition to FRS 102</w:t>
      </w:r>
    </w:p>
    <w:p w14:paraId="02976B1A" w14:textId="39235DDB" w:rsidR="007A52A3" w:rsidRPr="00214121" w:rsidRDefault="007A52A3" w:rsidP="00214121">
      <w:pPr>
        <w:spacing w:line="360" w:lineRule="auto"/>
        <w:rPr>
          <w:rFonts w:ascii="Arial" w:hAnsi="Arial"/>
        </w:rPr>
      </w:pPr>
      <w:r w:rsidRPr="00214121">
        <w:rPr>
          <w:rFonts w:ascii="Arial" w:hAnsi="Arial"/>
        </w:rPr>
        <w:t>For the vast majority of small entities, the transition to FRS 102 will take place for an accounting period which starts on or after 1 January 2016 (</w:t>
      </w:r>
      <w:r w:rsidR="004B39A3">
        <w:rPr>
          <w:rFonts w:ascii="Arial" w:hAnsi="Arial"/>
        </w:rPr>
        <w:t>ie</w:t>
      </w:r>
      <w:r w:rsidRPr="00214121">
        <w:rPr>
          <w:rFonts w:ascii="Arial" w:hAnsi="Arial"/>
        </w:rPr>
        <w:t xml:space="preserve"> December 2016 year-ends).</w:t>
      </w:r>
      <w:r>
        <w:rPr>
          <w:rFonts w:ascii="Arial" w:hAnsi="Arial"/>
        </w:rPr>
        <w:t xml:space="preserve"> </w:t>
      </w:r>
      <w:r w:rsidRPr="00214121">
        <w:rPr>
          <w:rFonts w:ascii="Arial" w:hAnsi="Arial"/>
        </w:rPr>
        <w:t xml:space="preserve">As with companies outside of the small companies’ regime, a small entity transitioning to FRS 102 must apply the rules in FRS 102 retrospectively to the date of transition and apply the principles in </w:t>
      </w:r>
      <w:r w:rsidR="0029743D">
        <w:rPr>
          <w:rFonts w:ascii="Arial" w:hAnsi="Arial"/>
        </w:rPr>
        <w:t>s</w:t>
      </w:r>
      <w:r w:rsidRPr="00214121">
        <w:rPr>
          <w:rFonts w:ascii="Arial" w:hAnsi="Arial"/>
        </w:rPr>
        <w:t>ection 35</w:t>
      </w:r>
      <w:r w:rsidR="0029743D">
        <w:rPr>
          <w:rFonts w:ascii="Arial" w:hAnsi="Arial"/>
        </w:rPr>
        <w:t>,</w:t>
      </w:r>
      <w:r w:rsidRPr="00214121">
        <w:rPr>
          <w:rFonts w:ascii="Arial" w:hAnsi="Arial"/>
        </w:rPr>
        <w:t xml:space="preserve"> </w:t>
      </w:r>
      <w:r w:rsidR="0029743D">
        <w:rPr>
          <w:rFonts w:ascii="Arial" w:hAnsi="Arial"/>
        </w:rPr>
        <w:t>‘</w:t>
      </w:r>
      <w:r w:rsidRPr="00214121">
        <w:rPr>
          <w:rFonts w:ascii="Arial" w:hAnsi="Arial"/>
        </w:rPr>
        <w:t>Transition to this FRS</w:t>
      </w:r>
      <w:r w:rsidR="0029743D" w:rsidRPr="00214121">
        <w:rPr>
          <w:rFonts w:ascii="Arial" w:hAnsi="Arial"/>
        </w:rPr>
        <w:t>’,</w:t>
      </w:r>
      <w:r w:rsidRPr="00214121">
        <w:rPr>
          <w:rFonts w:ascii="Arial" w:hAnsi="Arial"/>
        </w:rPr>
        <w:t xml:space="preserve"> on first-time adoption of FRS </w:t>
      </w:r>
      <w:r w:rsidRPr="00214121">
        <w:rPr>
          <w:rFonts w:ascii="Arial" w:hAnsi="Arial"/>
        </w:rPr>
        <w:lastRenderedPageBreak/>
        <w:t>102.</w:t>
      </w:r>
      <w:r>
        <w:rPr>
          <w:rFonts w:ascii="Arial" w:hAnsi="Arial"/>
        </w:rPr>
        <w:t xml:space="preserve"> </w:t>
      </w:r>
      <w:r w:rsidRPr="00214121">
        <w:rPr>
          <w:rFonts w:ascii="Arial" w:hAnsi="Arial"/>
        </w:rPr>
        <w:t>Other than disclosure requirements, the same principles will be applied by small companies as medium-sized and large entities will apply on transition to FRS 102.</w:t>
      </w:r>
      <w:r>
        <w:rPr>
          <w:rFonts w:ascii="Arial" w:hAnsi="Arial"/>
        </w:rPr>
        <w:t xml:space="preserve"> </w:t>
      </w:r>
    </w:p>
    <w:p w14:paraId="05F47C6C" w14:textId="77777777" w:rsidR="007A52A3" w:rsidRPr="00214121" w:rsidRDefault="007A52A3" w:rsidP="00214121">
      <w:pPr>
        <w:spacing w:line="360" w:lineRule="auto"/>
        <w:rPr>
          <w:rFonts w:ascii="Arial" w:hAnsi="Arial"/>
        </w:rPr>
      </w:pPr>
    </w:p>
    <w:p w14:paraId="0F55E2A7" w14:textId="09E2F4FF" w:rsidR="007A52A3" w:rsidRPr="00214121" w:rsidRDefault="007A52A3" w:rsidP="00214121">
      <w:pPr>
        <w:spacing w:line="360" w:lineRule="auto"/>
        <w:rPr>
          <w:rFonts w:ascii="Arial" w:hAnsi="Arial"/>
        </w:rPr>
      </w:pPr>
      <w:r w:rsidRPr="00214121">
        <w:rPr>
          <w:rFonts w:ascii="Arial" w:hAnsi="Arial"/>
        </w:rPr>
        <w:t>The objective of this restatement process is so that the financial statements reflect the provisions in FRS 102 as if the standard had always been the framework used by the entity.</w:t>
      </w:r>
      <w:r>
        <w:rPr>
          <w:rFonts w:ascii="Arial" w:hAnsi="Arial"/>
        </w:rPr>
        <w:t xml:space="preserve"> </w:t>
      </w:r>
      <w:r w:rsidRPr="00214121">
        <w:rPr>
          <w:rFonts w:ascii="Arial" w:hAnsi="Arial"/>
        </w:rPr>
        <w:t>Retrospective application will enable the financial statements to be both comparable and consistent because otherwise it would be meaningless to have the current year’s financial statements prepared under FRS 102, with the previous period prepared under previous UK GAAP (</w:t>
      </w:r>
      <w:r w:rsidR="00E6691C">
        <w:rPr>
          <w:rFonts w:ascii="Arial" w:hAnsi="Arial"/>
        </w:rPr>
        <w:t>ie</w:t>
      </w:r>
      <w:r w:rsidRPr="00214121">
        <w:rPr>
          <w:rFonts w:ascii="Arial" w:hAnsi="Arial"/>
        </w:rPr>
        <w:t xml:space="preserve"> the FRSSE).</w:t>
      </w:r>
      <w:r>
        <w:rPr>
          <w:rFonts w:ascii="Arial" w:hAnsi="Arial"/>
        </w:rPr>
        <w:t xml:space="preserve"> </w:t>
      </w:r>
      <w:r w:rsidRPr="00214121">
        <w:rPr>
          <w:rFonts w:ascii="Arial" w:hAnsi="Arial"/>
        </w:rPr>
        <w:t>Retrospective restatement is needed as far back as the date of transition so that the opening balances, on which the comparative year is built, reflect the provisions in FRS 102.</w:t>
      </w:r>
      <w:r>
        <w:rPr>
          <w:rFonts w:ascii="Arial" w:hAnsi="Arial"/>
        </w:rPr>
        <w:t xml:space="preserve"> </w:t>
      </w:r>
    </w:p>
    <w:p w14:paraId="6CE4D99A" w14:textId="77777777" w:rsidR="007A52A3" w:rsidRPr="00214121" w:rsidRDefault="007A52A3" w:rsidP="00214121">
      <w:pPr>
        <w:spacing w:line="360" w:lineRule="auto"/>
        <w:rPr>
          <w:rFonts w:ascii="Arial" w:hAnsi="Arial"/>
        </w:rPr>
      </w:pPr>
    </w:p>
    <w:p w14:paraId="227CDBB3" w14:textId="180AA249" w:rsidR="007A52A3" w:rsidRPr="00214121" w:rsidRDefault="007A52A3" w:rsidP="00214121">
      <w:pPr>
        <w:spacing w:line="360" w:lineRule="auto"/>
        <w:rPr>
          <w:rFonts w:ascii="Arial" w:hAnsi="Arial"/>
        </w:rPr>
      </w:pPr>
      <w:r w:rsidRPr="00214121">
        <w:rPr>
          <w:rFonts w:ascii="Arial" w:hAnsi="Arial"/>
        </w:rPr>
        <w:t xml:space="preserve">A first-time adopter must apply </w:t>
      </w:r>
      <w:r w:rsidR="0000652F">
        <w:rPr>
          <w:rFonts w:ascii="Arial" w:hAnsi="Arial"/>
        </w:rPr>
        <w:t>s</w:t>
      </w:r>
      <w:r w:rsidRPr="00214121">
        <w:rPr>
          <w:rFonts w:ascii="Arial" w:hAnsi="Arial"/>
        </w:rPr>
        <w:t>ection 35 in the first set of financial statements that comply with FRS 102.</w:t>
      </w:r>
      <w:r>
        <w:rPr>
          <w:rFonts w:ascii="Arial" w:hAnsi="Arial"/>
        </w:rPr>
        <w:t xml:space="preserve"> </w:t>
      </w:r>
      <w:r w:rsidRPr="00214121">
        <w:rPr>
          <w:rFonts w:ascii="Arial" w:hAnsi="Arial"/>
        </w:rPr>
        <w:t xml:space="preserve">An entity’s ‘first set of financial statements that comply with FRS 102’ are those </w:t>
      </w:r>
      <w:r w:rsidR="00CC6673">
        <w:rPr>
          <w:rFonts w:ascii="Arial" w:hAnsi="Arial"/>
        </w:rPr>
        <w:t>that</w:t>
      </w:r>
      <w:r w:rsidRPr="00214121">
        <w:rPr>
          <w:rFonts w:ascii="Arial" w:hAnsi="Arial"/>
        </w:rPr>
        <w:t xml:space="preserve"> contain an </w:t>
      </w:r>
      <w:r w:rsidRPr="00214121">
        <w:rPr>
          <w:rFonts w:ascii="Arial" w:hAnsi="Arial"/>
          <w:i/>
        </w:rPr>
        <w:t xml:space="preserve">explicit and unreserved </w:t>
      </w:r>
      <w:r w:rsidRPr="00214121">
        <w:rPr>
          <w:rFonts w:ascii="Arial" w:hAnsi="Arial"/>
        </w:rPr>
        <w:t>statement</w:t>
      </w:r>
      <w:r w:rsidRPr="00214121">
        <w:rPr>
          <w:rFonts w:ascii="Arial" w:hAnsi="Arial"/>
          <w:i/>
        </w:rPr>
        <w:t xml:space="preserve"> </w:t>
      </w:r>
      <w:r w:rsidRPr="00214121">
        <w:rPr>
          <w:rFonts w:ascii="Arial" w:hAnsi="Arial"/>
        </w:rPr>
        <w:t>of compliance with FRS 102, where the small entity provides this encouraged statement to comply with paragraph 1AD.1(a).</w:t>
      </w:r>
      <w:r>
        <w:rPr>
          <w:rFonts w:ascii="Arial" w:hAnsi="Arial"/>
        </w:rPr>
        <w:t xml:space="preserve"> </w:t>
      </w:r>
      <w:r w:rsidRPr="00214121">
        <w:rPr>
          <w:rFonts w:ascii="Arial" w:hAnsi="Arial"/>
        </w:rPr>
        <w:t>Paragraph 35.4 provides three examples of when financial statements prepared under the principles of FRS 102 are an entity’s first such financial statements as follows:</w:t>
      </w:r>
    </w:p>
    <w:p w14:paraId="2B052FBB" w14:textId="77777777" w:rsidR="007A52A3" w:rsidRPr="00214121" w:rsidRDefault="007A52A3" w:rsidP="00214121">
      <w:pPr>
        <w:spacing w:line="360" w:lineRule="auto"/>
        <w:rPr>
          <w:rFonts w:ascii="Arial" w:hAnsi="Arial"/>
        </w:rPr>
      </w:pPr>
    </w:p>
    <w:p w14:paraId="0104DA46" w14:textId="68AFA1AA" w:rsidR="007A52A3" w:rsidRPr="00214121" w:rsidRDefault="00421471" w:rsidP="00214121">
      <w:pPr>
        <w:spacing w:line="360" w:lineRule="auto"/>
        <w:ind w:left="567" w:hanging="567"/>
        <w:rPr>
          <w:rFonts w:ascii="Arial" w:hAnsi="Arial"/>
        </w:rPr>
      </w:pPr>
      <w:r>
        <w:rPr>
          <w:rFonts w:ascii="Arial" w:hAnsi="Arial"/>
        </w:rPr>
        <w:t xml:space="preserve">a. </w:t>
      </w:r>
      <w:r>
        <w:rPr>
          <w:rFonts w:ascii="Arial" w:hAnsi="Arial"/>
        </w:rPr>
        <w:tab/>
      </w:r>
      <w:r w:rsidR="007A52A3" w:rsidRPr="00214121">
        <w:rPr>
          <w:rFonts w:ascii="Arial" w:hAnsi="Arial"/>
        </w:rPr>
        <w:t xml:space="preserve">the entity did not present financial </w:t>
      </w:r>
      <w:r w:rsidRPr="00932923">
        <w:rPr>
          <w:rFonts w:ascii="Arial" w:hAnsi="Arial"/>
        </w:rPr>
        <w:t>statements for previous periods</w:t>
      </w:r>
    </w:p>
    <w:p w14:paraId="323671E4" w14:textId="34D9D53E" w:rsidR="007A52A3" w:rsidRPr="00214121" w:rsidRDefault="00421471" w:rsidP="00214121">
      <w:pPr>
        <w:spacing w:line="360" w:lineRule="auto"/>
        <w:ind w:left="567" w:hanging="567"/>
        <w:rPr>
          <w:rFonts w:ascii="Arial" w:hAnsi="Arial"/>
        </w:rPr>
      </w:pPr>
      <w:r>
        <w:rPr>
          <w:rFonts w:ascii="Arial" w:hAnsi="Arial"/>
        </w:rPr>
        <w:t xml:space="preserve">b. </w:t>
      </w:r>
      <w:r>
        <w:rPr>
          <w:rFonts w:ascii="Arial" w:hAnsi="Arial"/>
        </w:rPr>
        <w:tab/>
      </w:r>
      <w:r w:rsidR="007A52A3" w:rsidRPr="00214121">
        <w:rPr>
          <w:rFonts w:ascii="Arial" w:hAnsi="Arial"/>
        </w:rPr>
        <w:t>the entity presented its most recent previous financial statements under previous UK and Republic of Ireland requirements that are therefore not consistent with FRS 102 in all respects</w:t>
      </w:r>
      <w:r>
        <w:rPr>
          <w:rFonts w:ascii="Arial" w:hAnsi="Arial"/>
        </w:rPr>
        <w:t>,</w:t>
      </w:r>
      <w:r w:rsidR="007A52A3" w:rsidRPr="00214121">
        <w:rPr>
          <w:rFonts w:ascii="Arial" w:hAnsi="Arial"/>
        </w:rPr>
        <w:t xml:space="preserve"> or</w:t>
      </w:r>
    </w:p>
    <w:p w14:paraId="6DBC1616" w14:textId="23D6873D" w:rsidR="007A52A3" w:rsidRPr="00214121" w:rsidRDefault="00421471" w:rsidP="00214121">
      <w:pPr>
        <w:spacing w:line="360" w:lineRule="auto"/>
        <w:ind w:left="567" w:hanging="567"/>
        <w:rPr>
          <w:rFonts w:ascii="Arial" w:hAnsi="Arial"/>
        </w:rPr>
      </w:pPr>
      <w:r>
        <w:rPr>
          <w:rFonts w:ascii="Arial" w:hAnsi="Arial"/>
        </w:rPr>
        <w:t xml:space="preserve">c. </w:t>
      </w:r>
      <w:r>
        <w:rPr>
          <w:rFonts w:ascii="Arial" w:hAnsi="Arial"/>
        </w:rPr>
        <w:tab/>
      </w:r>
      <w:r w:rsidR="007A52A3" w:rsidRPr="00214121">
        <w:rPr>
          <w:rFonts w:ascii="Arial" w:hAnsi="Arial"/>
        </w:rPr>
        <w:t>the entity presented its most recent previous financial statements in conformity with EU-adopted IFRS.</w:t>
      </w:r>
    </w:p>
    <w:p w14:paraId="63A842AA" w14:textId="77777777" w:rsidR="007A52A3" w:rsidRPr="00214121" w:rsidRDefault="007A52A3" w:rsidP="00214121">
      <w:pPr>
        <w:spacing w:line="360" w:lineRule="auto"/>
        <w:rPr>
          <w:rFonts w:ascii="Arial" w:hAnsi="Arial"/>
        </w:rPr>
      </w:pPr>
    </w:p>
    <w:p w14:paraId="49124EF2" w14:textId="62ED9B66" w:rsidR="007A52A3" w:rsidRPr="00214121" w:rsidRDefault="007A52A3" w:rsidP="00214121">
      <w:pPr>
        <w:spacing w:line="360" w:lineRule="auto"/>
        <w:rPr>
          <w:rFonts w:ascii="Arial" w:hAnsi="Arial"/>
        </w:rPr>
      </w:pPr>
      <w:r w:rsidRPr="00214121">
        <w:rPr>
          <w:rFonts w:ascii="Arial" w:hAnsi="Arial"/>
        </w:rPr>
        <w:t>The standard requires an entity to disclose comparative information in respect of the previous accounting period for all amounts presented in the financial statements and specified comparative narrative and descriptive information.</w:t>
      </w:r>
      <w:r>
        <w:rPr>
          <w:rFonts w:ascii="Arial" w:hAnsi="Arial"/>
        </w:rPr>
        <w:t xml:space="preserve"> </w:t>
      </w:r>
      <w:r w:rsidRPr="00214121">
        <w:rPr>
          <w:rFonts w:ascii="Arial" w:hAnsi="Arial"/>
        </w:rPr>
        <w:t>The majority of reporting entities in the UK and Republic of Ireland will provide current year financial information and the previous period’s/year’s comparatives; however, the standard does permit an entity to present more than one preceding period (although in practice this is not usually the case).</w:t>
      </w:r>
      <w:r>
        <w:rPr>
          <w:rFonts w:ascii="Arial" w:hAnsi="Arial"/>
        </w:rPr>
        <w:t xml:space="preserve"> </w:t>
      </w:r>
    </w:p>
    <w:p w14:paraId="5E6B75ED" w14:textId="77777777" w:rsidR="007A52A3" w:rsidRPr="00214121" w:rsidRDefault="007A52A3" w:rsidP="00214121">
      <w:pPr>
        <w:spacing w:line="360" w:lineRule="auto"/>
        <w:rPr>
          <w:rFonts w:ascii="Arial" w:hAnsi="Arial"/>
        </w:rPr>
      </w:pPr>
    </w:p>
    <w:p w14:paraId="5B97E109" w14:textId="77777777" w:rsidR="007A52A3" w:rsidRPr="00214121" w:rsidRDefault="007A52A3" w:rsidP="00214121">
      <w:pPr>
        <w:spacing w:line="360" w:lineRule="auto"/>
        <w:rPr>
          <w:rFonts w:ascii="Arial" w:hAnsi="Arial"/>
        </w:rPr>
      </w:pPr>
      <w:r w:rsidRPr="00214121">
        <w:rPr>
          <w:rFonts w:ascii="Arial" w:hAnsi="Arial"/>
        </w:rPr>
        <w:t>Where an entity is applying FRS 102 for the first time and only presents one preceding period of comparative information, the entity will need to make adjustments to:</w:t>
      </w:r>
    </w:p>
    <w:p w14:paraId="6CA0EB3C" w14:textId="77777777" w:rsidR="007A52A3" w:rsidRPr="00214121" w:rsidRDefault="007A52A3" w:rsidP="00214121">
      <w:pPr>
        <w:spacing w:line="360" w:lineRule="auto"/>
        <w:rPr>
          <w:rFonts w:ascii="Arial" w:hAnsi="Arial"/>
        </w:rPr>
      </w:pPr>
    </w:p>
    <w:p w14:paraId="746D5C3F" w14:textId="45A7F46A" w:rsidR="007A52A3" w:rsidRPr="00214121" w:rsidRDefault="007A52A3" w:rsidP="00214121">
      <w:pPr>
        <w:pStyle w:val="ListParagraph"/>
        <w:numPr>
          <w:ilvl w:val="0"/>
          <w:numId w:val="18"/>
        </w:numPr>
        <w:spacing w:line="360" w:lineRule="auto"/>
        <w:rPr>
          <w:rFonts w:ascii="Arial" w:hAnsi="Arial"/>
          <w:sz w:val="24"/>
        </w:rPr>
      </w:pPr>
      <w:r w:rsidRPr="00214121">
        <w:rPr>
          <w:rFonts w:ascii="Arial" w:hAnsi="Arial"/>
          <w:sz w:val="24"/>
        </w:rPr>
        <w:lastRenderedPageBreak/>
        <w:t>the comparative statement of financial position (balance sheet)</w:t>
      </w:r>
    </w:p>
    <w:p w14:paraId="2278DC0B" w14:textId="7646B30D" w:rsidR="007A52A3" w:rsidRPr="00214121" w:rsidRDefault="007A52A3" w:rsidP="00214121">
      <w:pPr>
        <w:pStyle w:val="ListParagraph"/>
        <w:numPr>
          <w:ilvl w:val="0"/>
          <w:numId w:val="18"/>
        </w:numPr>
        <w:spacing w:line="360" w:lineRule="auto"/>
        <w:rPr>
          <w:rFonts w:ascii="Arial" w:hAnsi="Arial"/>
          <w:sz w:val="24"/>
        </w:rPr>
      </w:pPr>
      <w:r w:rsidRPr="00214121">
        <w:rPr>
          <w:rFonts w:ascii="Arial" w:hAnsi="Arial"/>
          <w:sz w:val="24"/>
        </w:rPr>
        <w:t>the comparative profit and loss account (income statement</w:t>
      </w:r>
      <w:r w:rsidR="00A869F9">
        <w:rPr>
          <w:rFonts w:ascii="Arial" w:hAnsi="Arial"/>
          <w:sz w:val="24"/>
        </w:rPr>
        <w:t>)</w:t>
      </w:r>
    </w:p>
    <w:p w14:paraId="119E4EEA" w14:textId="77777777" w:rsidR="007A52A3" w:rsidRPr="00214121" w:rsidRDefault="007A52A3" w:rsidP="00214121">
      <w:pPr>
        <w:pStyle w:val="ListParagraph"/>
        <w:numPr>
          <w:ilvl w:val="0"/>
          <w:numId w:val="18"/>
        </w:numPr>
        <w:spacing w:line="360" w:lineRule="auto"/>
        <w:rPr>
          <w:rFonts w:ascii="Arial" w:hAnsi="Arial"/>
          <w:sz w:val="24"/>
        </w:rPr>
      </w:pPr>
      <w:r w:rsidRPr="00214121">
        <w:rPr>
          <w:rFonts w:ascii="Arial" w:hAnsi="Arial"/>
          <w:sz w:val="24"/>
        </w:rPr>
        <w:t xml:space="preserve">the opening statement of financial position (balance sheet) at the date of transition. </w:t>
      </w:r>
    </w:p>
    <w:p w14:paraId="01463457" w14:textId="77777777" w:rsidR="007A52A3" w:rsidRPr="00214121" w:rsidRDefault="007A52A3" w:rsidP="00214121">
      <w:pPr>
        <w:spacing w:line="360" w:lineRule="auto"/>
        <w:rPr>
          <w:rFonts w:ascii="Arial" w:hAnsi="Arial"/>
        </w:rPr>
      </w:pPr>
    </w:p>
    <w:p w14:paraId="7D528C19" w14:textId="07C5D907" w:rsidR="007A52A3" w:rsidRPr="00214121" w:rsidRDefault="007A52A3" w:rsidP="00214121">
      <w:pPr>
        <w:rPr>
          <w:rFonts w:ascii="Arial" w:hAnsi="Arial"/>
        </w:rPr>
      </w:pPr>
      <w:r w:rsidRPr="00214121">
        <w:rPr>
          <w:rFonts w:ascii="Arial" w:hAnsi="Arial"/>
        </w:rPr>
        <w:t>The transition procedures can be looked at as a stage of five steps:</w:t>
      </w:r>
    </w:p>
    <w:p w14:paraId="62D59883" w14:textId="77777777" w:rsidR="007A52A3" w:rsidRPr="00214121" w:rsidRDefault="007A52A3" w:rsidP="00214121">
      <w:pPr>
        <w:spacing w:line="360" w:lineRule="auto"/>
        <w:rPr>
          <w:rFonts w:ascii="Arial" w:hAnsi="Arial"/>
        </w:rPr>
      </w:pPr>
    </w:p>
    <w:p w14:paraId="3748C184" w14:textId="77777777" w:rsidR="007A52A3" w:rsidRPr="00214121" w:rsidRDefault="007A52A3" w:rsidP="00214121">
      <w:pPr>
        <w:spacing w:line="360" w:lineRule="auto"/>
        <w:ind w:left="1134" w:hanging="1134"/>
        <w:rPr>
          <w:rFonts w:ascii="Arial" w:hAnsi="Arial"/>
        </w:rPr>
      </w:pPr>
      <w:r w:rsidRPr="00214121">
        <w:rPr>
          <w:rFonts w:ascii="Arial" w:hAnsi="Arial"/>
          <w:b/>
        </w:rPr>
        <w:t>Step 1:</w:t>
      </w:r>
      <w:r w:rsidRPr="00214121">
        <w:rPr>
          <w:rFonts w:ascii="Arial" w:hAnsi="Arial"/>
        </w:rPr>
        <w:t xml:space="preserve"> </w:t>
      </w:r>
      <w:r w:rsidRPr="00214121">
        <w:rPr>
          <w:rFonts w:ascii="Arial" w:hAnsi="Arial"/>
        </w:rPr>
        <w:tab/>
        <w:t>determine the date of transition</w:t>
      </w:r>
    </w:p>
    <w:p w14:paraId="7D34BC51" w14:textId="78D6A668" w:rsidR="007A52A3" w:rsidRPr="00214121" w:rsidRDefault="007A52A3" w:rsidP="00214121">
      <w:pPr>
        <w:spacing w:line="360" w:lineRule="auto"/>
        <w:ind w:left="1134" w:hanging="1134"/>
        <w:rPr>
          <w:rFonts w:ascii="Arial" w:hAnsi="Arial"/>
        </w:rPr>
      </w:pPr>
      <w:r w:rsidRPr="00214121">
        <w:rPr>
          <w:rFonts w:ascii="Arial" w:hAnsi="Arial"/>
          <w:b/>
        </w:rPr>
        <w:t xml:space="preserve">Step 2: </w:t>
      </w:r>
      <w:r w:rsidRPr="00214121">
        <w:rPr>
          <w:rFonts w:ascii="Arial" w:hAnsi="Arial"/>
          <w:b/>
        </w:rPr>
        <w:tab/>
      </w:r>
      <w:r w:rsidRPr="00214121">
        <w:rPr>
          <w:rFonts w:ascii="Arial" w:hAnsi="Arial"/>
        </w:rPr>
        <w:t>recognise all assets and liabilities whose rec</w:t>
      </w:r>
      <w:r w:rsidR="000A3138">
        <w:rPr>
          <w:rFonts w:ascii="Arial" w:hAnsi="Arial"/>
        </w:rPr>
        <w:t>ognition is required by FRS 102</w:t>
      </w:r>
    </w:p>
    <w:p w14:paraId="6B2967AF" w14:textId="448A2406" w:rsidR="007A52A3" w:rsidRPr="00214121" w:rsidRDefault="007A52A3" w:rsidP="00214121">
      <w:pPr>
        <w:spacing w:line="360" w:lineRule="auto"/>
        <w:ind w:left="1134" w:hanging="1134"/>
        <w:rPr>
          <w:rFonts w:ascii="Arial" w:hAnsi="Arial"/>
        </w:rPr>
      </w:pPr>
      <w:r w:rsidRPr="00214121">
        <w:rPr>
          <w:rFonts w:ascii="Arial" w:hAnsi="Arial"/>
          <w:b/>
        </w:rPr>
        <w:t>Step 3:</w:t>
      </w:r>
      <w:r w:rsidRPr="00214121">
        <w:rPr>
          <w:rFonts w:ascii="Arial" w:hAnsi="Arial"/>
        </w:rPr>
        <w:t xml:space="preserve"> </w:t>
      </w:r>
      <w:r w:rsidRPr="00214121">
        <w:rPr>
          <w:rFonts w:ascii="Arial" w:hAnsi="Arial"/>
        </w:rPr>
        <w:tab/>
        <w:t xml:space="preserve">derecognise items as assets or liabilities </w:t>
      </w:r>
      <w:r w:rsidR="000A3138">
        <w:rPr>
          <w:rFonts w:ascii="Arial" w:hAnsi="Arial"/>
        </w:rPr>
        <w:t xml:space="preserve">if FRS 102 does not permit such </w:t>
      </w:r>
      <w:r w:rsidR="00510140">
        <w:rPr>
          <w:rFonts w:ascii="Arial" w:hAnsi="Arial"/>
        </w:rPr>
        <w:t>recognition</w:t>
      </w:r>
    </w:p>
    <w:p w14:paraId="2E7B92F2" w14:textId="17687F65" w:rsidR="007A52A3" w:rsidRPr="00214121" w:rsidRDefault="007A52A3" w:rsidP="00214121">
      <w:pPr>
        <w:spacing w:line="360" w:lineRule="auto"/>
        <w:ind w:left="1134" w:hanging="1134"/>
        <w:rPr>
          <w:rFonts w:ascii="Arial" w:hAnsi="Arial"/>
        </w:rPr>
      </w:pPr>
      <w:r w:rsidRPr="00214121">
        <w:rPr>
          <w:rFonts w:ascii="Arial" w:hAnsi="Arial"/>
          <w:b/>
        </w:rPr>
        <w:t xml:space="preserve">Step 4: </w:t>
      </w:r>
      <w:r w:rsidRPr="00214121">
        <w:rPr>
          <w:rFonts w:ascii="Arial" w:hAnsi="Arial"/>
          <w:b/>
        </w:rPr>
        <w:tab/>
      </w:r>
      <w:r w:rsidRPr="00214121">
        <w:rPr>
          <w:rFonts w:ascii="Arial" w:hAnsi="Arial"/>
        </w:rPr>
        <w:t>reclassify items that it recognised under its previous financial reporting framework as one type of asset, liability or component of equity, but are a different type of asset, liability or component of equity under FRS 102</w:t>
      </w:r>
    </w:p>
    <w:p w14:paraId="6B954603" w14:textId="2F13EB8F" w:rsidR="007A52A3" w:rsidRPr="00214121" w:rsidRDefault="007A52A3" w:rsidP="00214121">
      <w:pPr>
        <w:spacing w:line="360" w:lineRule="auto"/>
        <w:ind w:left="1134" w:hanging="1134"/>
        <w:rPr>
          <w:rFonts w:ascii="Arial" w:hAnsi="Arial"/>
        </w:rPr>
      </w:pPr>
      <w:r w:rsidRPr="00214121">
        <w:rPr>
          <w:rFonts w:ascii="Arial" w:hAnsi="Arial"/>
          <w:b/>
        </w:rPr>
        <w:t>Step 5:</w:t>
      </w:r>
      <w:r w:rsidRPr="00214121">
        <w:rPr>
          <w:rFonts w:ascii="Arial" w:hAnsi="Arial"/>
        </w:rPr>
        <w:tab/>
        <w:t xml:space="preserve">apply FRS 102 in measuring all recognised assets and liabilities. </w:t>
      </w:r>
    </w:p>
    <w:p w14:paraId="50B5FC9E" w14:textId="4B9F0872" w:rsidR="007A52A3" w:rsidRPr="00214121" w:rsidRDefault="007A52A3" w:rsidP="00214121">
      <w:pPr>
        <w:pStyle w:val="Heading2"/>
        <w:spacing w:line="360" w:lineRule="auto"/>
        <w:rPr>
          <w:rFonts w:ascii="Arial" w:hAnsi="Arial"/>
        </w:rPr>
      </w:pPr>
      <w:r w:rsidRPr="00214121">
        <w:rPr>
          <w:rFonts w:ascii="Arial" w:hAnsi="Arial"/>
          <w:i w:val="0"/>
          <w:sz w:val="24"/>
          <w:szCs w:val="24"/>
        </w:rPr>
        <w:t>Transitional versus prior period adjustments</w:t>
      </w:r>
    </w:p>
    <w:p w14:paraId="70A928BD" w14:textId="2B537D5D" w:rsidR="007A52A3" w:rsidRPr="00214121" w:rsidRDefault="007A52A3" w:rsidP="00214121">
      <w:pPr>
        <w:spacing w:line="360" w:lineRule="auto"/>
        <w:rPr>
          <w:rFonts w:ascii="Arial" w:hAnsi="Arial"/>
        </w:rPr>
      </w:pPr>
      <w:r w:rsidRPr="00214121">
        <w:rPr>
          <w:rFonts w:ascii="Arial" w:hAnsi="Arial"/>
        </w:rPr>
        <w:t xml:space="preserve">It should be noted that the accounting policies </w:t>
      </w:r>
      <w:r w:rsidR="00163005">
        <w:rPr>
          <w:rFonts w:ascii="Arial" w:hAnsi="Arial"/>
        </w:rPr>
        <w:t>that</w:t>
      </w:r>
      <w:r w:rsidRPr="00214121">
        <w:rPr>
          <w:rFonts w:ascii="Arial" w:hAnsi="Arial"/>
        </w:rPr>
        <w:t xml:space="preserve"> an entity uses in its opening balance sheet under FRS 102 could differ from those </w:t>
      </w:r>
      <w:r w:rsidR="00163005">
        <w:rPr>
          <w:rFonts w:ascii="Arial" w:hAnsi="Arial"/>
        </w:rPr>
        <w:t>that</w:t>
      </w:r>
      <w:r w:rsidRPr="00214121">
        <w:rPr>
          <w:rFonts w:ascii="Arial" w:hAnsi="Arial"/>
        </w:rPr>
        <w:t xml:space="preserve"> it used as at the same date under previous UK GAAP.</w:t>
      </w:r>
      <w:r>
        <w:rPr>
          <w:rFonts w:ascii="Arial" w:hAnsi="Arial"/>
        </w:rPr>
        <w:t xml:space="preserve"> </w:t>
      </w:r>
      <w:r w:rsidRPr="00214121">
        <w:rPr>
          <w:rFonts w:ascii="Arial" w:hAnsi="Arial"/>
        </w:rPr>
        <w:t>This is because previous UK GAAP may have permitted certain accounting treatments</w:t>
      </w:r>
      <w:r w:rsidR="00163005">
        <w:rPr>
          <w:rFonts w:ascii="Arial" w:hAnsi="Arial"/>
        </w:rPr>
        <w:t>,</w:t>
      </w:r>
      <w:r w:rsidRPr="00214121">
        <w:rPr>
          <w:rFonts w:ascii="Arial" w:hAnsi="Arial"/>
        </w:rPr>
        <w:t xml:space="preserve"> whereas FRS 102 may not permit such accounting treatments</w:t>
      </w:r>
      <w:r w:rsidR="00163005">
        <w:rPr>
          <w:rFonts w:ascii="Arial" w:hAnsi="Arial"/>
        </w:rPr>
        <w:t>,</w:t>
      </w:r>
      <w:r w:rsidRPr="00214121">
        <w:rPr>
          <w:rFonts w:ascii="Arial" w:hAnsi="Arial"/>
        </w:rPr>
        <w:t xml:space="preserve"> and vice versa.</w:t>
      </w:r>
      <w:r>
        <w:rPr>
          <w:rFonts w:ascii="Arial" w:hAnsi="Arial"/>
        </w:rPr>
        <w:t xml:space="preserve"> </w:t>
      </w:r>
      <w:r w:rsidRPr="00214121">
        <w:rPr>
          <w:rFonts w:ascii="Arial" w:hAnsi="Arial"/>
        </w:rPr>
        <w:t xml:space="preserve">Any adjustments </w:t>
      </w:r>
      <w:r w:rsidR="00163005">
        <w:rPr>
          <w:rFonts w:ascii="Arial" w:hAnsi="Arial"/>
        </w:rPr>
        <w:t>that</w:t>
      </w:r>
      <w:r w:rsidRPr="00214121">
        <w:rPr>
          <w:rFonts w:ascii="Arial" w:hAnsi="Arial"/>
        </w:rPr>
        <w:t xml:space="preserve"> are made to the entity’s opening balance sheet position as a result of aligning accounting policies to achieve compliance with FRS 102 are known as ‘transitional adjustments’.</w:t>
      </w:r>
      <w:r>
        <w:rPr>
          <w:rFonts w:ascii="Arial" w:hAnsi="Arial"/>
        </w:rPr>
        <w:t xml:space="preserve"> </w:t>
      </w:r>
    </w:p>
    <w:p w14:paraId="248CD7B8" w14:textId="77777777" w:rsidR="007A52A3" w:rsidRPr="00214121" w:rsidRDefault="007A52A3" w:rsidP="00214121">
      <w:pPr>
        <w:spacing w:line="360" w:lineRule="auto"/>
        <w:rPr>
          <w:rFonts w:ascii="Arial" w:hAnsi="Arial"/>
        </w:rPr>
      </w:pPr>
    </w:p>
    <w:p w14:paraId="4A3C6777" w14:textId="2E43514A" w:rsidR="007A52A3" w:rsidRPr="00214121" w:rsidRDefault="007A52A3" w:rsidP="00214121">
      <w:pPr>
        <w:spacing w:line="360" w:lineRule="auto"/>
        <w:rPr>
          <w:rFonts w:ascii="Arial" w:hAnsi="Arial"/>
        </w:rPr>
      </w:pPr>
      <w:r w:rsidRPr="00214121">
        <w:rPr>
          <w:rFonts w:ascii="Arial" w:hAnsi="Arial"/>
        </w:rPr>
        <w:t>With the exception of some specified exemptions, the rules must be applied to the prior period comparative financial statements and these adjustments are referred to as ‘prior period adjustments’.</w:t>
      </w:r>
      <w:r>
        <w:rPr>
          <w:rFonts w:ascii="Arial" w:hAnsi="Arial"/>
        </w:rPr>
        <w:t xml:space="preserve"> </w:t>
      </w:r>
      <w:r w:rsidRPr="00214121">
        <w:rPr>
          <w:rFonts w:ascii="Arial" w:hAnsi="Arial"/>
        </w:rPr>
        <w:t xml:space="preserve">It is important to distinguish between </w:t>
      </w:r>
      <w:r w:rsidR="003936DF">
        <w:rPr>
          <w:rFonts w:ascii="Arial" w:hAnsi="Arial"/>
        </w:rPr>
        <w:t xml:space="preserve">the two types of adjustments. </w:t>
      </w:r>
      <w:r w:rsidRPr="00214121">
        <w:rPr>
          <w:rFonts w:ascii="Arial" w:hAnsi="Arial"/>
        </w:rPr>
        <w:t xml:space="preserve">Some examples of adjustments </w:t>
      </w:r>
      <w:r w:rsidR="00AB5209">
        <w:rPr>
          <w:rFonts w:ascii="Arial" w:hAnsi="Arial"/>
        </w:rPr>
        <w:t>that</w:t>
      </w:r>
      <w:r w:rsidRPr="00214121">
        <w:rPr>
          <w:rFonts w:ascii="Arial" w:hAnsi="Arial"/>
        </w:rPr>
        <w:t xml:space="preserve"> might be made to a category of equity, other than retained earnings</w:t>
      </w:r>
      <w:r w:rsidR="00AB5209">
        <w:rPr>
          <w:rFonts w:ascii="Arial" w:hAnsi="Arial"/>
        </w:rPr>
        <w:t>,</w:t>
      </w:r>
      <w:r w:rsidRPr="00214121">
        <w:rPr>
          <w:rFonts w:ascii="Arial" w:hAnsi="Arial"/>
        </w:rPr>
        <w:t xml:space="preserve"> include:</w:t>
      </w:r>
    </w:p>
    <w:p w14:paraId="0A5A0DDC" w14:textId="77777777" w:rsidR="007A52A3" w:rsidRPr="00214121" w:rsidRDefault="007A52A3" w:rsidP="00214121">
      <w:pPr>
        <w:spacing w:line="360" w:lineRule="auto"/>
        <w:rPr>
          <w:rFonts w:ascii="Arial" w:hAnsi="Arial"/>
        </w:rPr>
      </w:pPr>
    </w:p>
    <w:p w14:paraId="3BD26B4B" w14:textId="0EB1BD02" w:rsidR="007A52A3" w:rsidRPr="00214121" w:rsidRDefault="007A52A3" w:rsidP="00214121">
      <w:pPr>
        <w:pStyle w:val="ListParagraph"/>
        <w:numPr>
          <w:ilvl w:val="0"/>
          <w:numId w:val="19"/>
        </w:numPr>
        <w:spacing w:line="360" w:lineRule="auto"/>
        <w:rPr>
          <w:rFonts w:ascii="Arial" w:hAnsi="Arial"/>
          <w:sz w:val="24"/>
        </w:rPr>
      </w:pPr>
      <w:r w:rsidRPr="00214121">
        <w:rPr>
          <w:rFonts w:ascii="Arial" w:hAnsi="Arial"/>
          <w:sz w:val="24"/>
        </w:rPr>
        <w:t xml:space="preserve">amounts in respect of remeasuring derivative financial instruments </w:t>
      </w:r>
      <w:r w:rsidR="007F6ADF">
        <w:rPr>
          <w:rFonts w:ascii="Arial" w:hAnsi="Arial"/>
          <w:sz w:val="24"/>
        </w:rPr>
        <w:t>that</w:t>
      </w:r>
      <w:r w:rsidRPr="00214121">
        <w:rPr>
          <w:rFonts w:ascii="Arial" w:hAnsi="Arial"/>
          <w:sz w:val="24"/>
        </w:rPr>
        <w:t xml:space="preserve"> are subject to hedge accounting under </w:t>
      </w:r>
      <w:r w:rsidR="0000652F">
        <w:rPr>
          <w:rFonts w:ascii="Arial" w:hAnsi="Arial"/>
          <w:sz w:val="24"/>
        </w:rPr>
        <w:t>s</w:t>
      </w:r>
      <w:r w:rsidRPr="00214121">
        <w:rPr>
          <w:rFonts w:ascii="Arial" w:hAnsi="Arial"/>
          <w:sz w:val="24"/>
        </w:rPr>
        <w:t>ection 12</w:t>
      </w:r>
      <w:r w:rsidR="004A68AA">
        <w:rPr>
          <w:rFonts w:ascii="Arial" w:hAnsi="Arial"/>
          <w:sz w:val="24"/>
        </w:rPr>
        <w:t>,</w:t>
      </w:r>
      <w:r w:rsidRPr="00214121">
        <w:rPr>
          <w:rFonts w:ascii="Arial" w:hAnsi="Arial"/>
          <w:sz w:val="24"/>
        </w:rPr>
        <w:t xml:space="preserve"> </w:t>
      </w:r>
      <w:r w:rsidR="004A68AA">
        <w:rPr>
          <w:rFonts w:ascii="Arial" w:hAnsi="Arial"/>
          <w:sz w:val="24"/>
        </w:rPr>
        <w:t>‘</w:t>
      </w:r>
      <w:r w:rsidRPr="00214121">
        <w:rPr>
          <w:rFonts w:ascii="Arial" w:hAnsi="Arial"/>
          <w:sz w:val="24"/>
        </w:rPr>
        <w:t>Other Financial Instruments Issues</w:t>
      </w:r>
      <w:r w:rsidR="004A68AA">
        <w:rPr>
          <w:rFonts w:ascii="Arial" w:hAnsi="Arial"/>
          <w:sz w:val="24"/>
        </w:rPr>
        <w:t>’</w:t>
      </w:r>
    </w:p>
    <w:p w14:paraId="126AE2D5" w14:textId="1DC393C6" w:rsidR="007A52A3" w:rsidRPr="00214121" w:rsidRDefault="007A52A3" w:rsidP="00214121">
      <w:pPr>
        <w:pStyle w:val="ListParagraph"/>
        <w:numPr>
          <w:ilvl w:val="0"/>
          <w:numId w:val="19"/>
        </w:numPr>
        <w:spacing w:line="360" w:lineRule="auto"/>
        <w:rPr>
          <w:rFonts w:ascii="Arial" w:hAnsi="Arial"/>
          <w:sz w:val="24"/>
        </w:rPr>
      </w:pPr>
      <w:r w:rsidRPr="00214121">
        <w:rPr>
          <w:rFonts w:ascii="Arial" w:hAnsi="Arial"/>
          <w:sz w:val="24"/>
        </w:rPr>
        <w:t>any difference between the cost of an item of property, plant and equipment and fair value where the entity uses a deemed cost, or where a policy of revaluing the asset(s) is adopted on transition to FRS 102</w:t>
      </w:r>
    </w:p>
    <w:p w14:paraId="298CBCE7" w14:textId="10E81741" w:rsidR="007A52A3" w:rsidRPr="00214121" w:rsidRDefault="007A52A3" w:rsidP="00214121">
      <w:pPr>
        <w:pStyle w:val="ListParagraph"/>
        <w:numPr>
          <w:ilvl w:val="0"/>
          <w:numId w:val="19"/>
        </w:numPr>
        <w:spacing w:line="360" w:lineRule="auto"/>
        <w:rPr>
          <w:rFonts w:ascii="Arial" w:hAnsi="Arial"/>
          <w:sz w:val="24"/>
        </w:rPr>
      </w:pPr>
      <w:r w:rsidRPr="00214121">
        <w:rPr>
          <w:rFonts w:ascii="Arial" w:hAnsi="Arial"/>
          <w:sz w:val="24"/>
        </w:rPr>
        <w:lastRenderedPageBreak/>
        <w:t xml:space="preserve">deferred tax that is recognised for the first time on items of property, plant and equipment measured under the revaluation model and </w:t>
      </w:r>
      <w:r w:rsidR="006842B6">
        <w:rPr>
          <w:rFonts w:ascii="Arial" w:hAnsi="Arial"/>
          <w:sz w:val="24"/>
        </w:rPr>
        <w:t>that</w:t>
      </w:r>
      <w:r w:rsidRPr="00214121">
        <w:rPr>
          <w:rFonts w:ascii="Arial" w:hAnsi="Arial"/>
          <w:sz w:val="24"/>
        </w:rPr>
        <w:t xml:space="preserve"> has been included in the same reserve as the revaluation gain. </w:t>
      </w:r>
    </w:p>
    <w:p w14:paraId="1737B440" w14:textId="77777777" w:rsidR="007A52A3" w:rsidRPr="00214121" w:rsidRDefault="007A52A3" w:rsidP="00214121">
      <w:pPr>
        <w:spacing w:line="360" w:lineRule="auto"/>
        <w:rPr>
          <w:rFonts w:ascii="Arial" w:hAnsi="Arial"/>
        </w:rPr>
      </w:pPr>
    </w:p>
    <w:p w14:paraId="68F1DAD3" w14:textId="4304E0F5" w:rsidR="007A52A3" w:rsidRPr="00214121" w:rsidRDefault="007A52A3" w:rsidP="00214121">
      <w:pPr>
        <w:pStyle w:val="Heading2"/>
        <w:spacing w:line="360" w:lineRule="auto"/>
        <w:rPr>
          <w:rFonts w:ascii="Arial" w:hAnsi="Arial"/>
        </w:rPr>
      </w:pPr>
      <w:r w:rsidRPr="00214121">
        <w:rPr>
          <w:rFonts w:ascii="Arial" w:hAnsi="Arial"/>
          <w:i w:val="0"/>
          <w:sz w:val="24"/>
          <w:szCs w:val="24"/>
        </w:rPr>
        <w:t>Determining the date of transition</w:t>
      </w:r>
    </w:p>
    <w:p w14:paraId="2164C46B" w14:textId="2BC1436E" w:rsidR="007A52A3" w:rsidRPr="00214121" w:rsidRDefault="007A52A3" w:rsidP="00214121">
      <w:pPr>
        <w:spacing w:line="360" w:lineRule="auto"/>
        <w:rPr>
          <w:rFonts w:ascii="Arial" w:hAnsi="Arial"/>
        </w:rPr>
      </w:pPr>
      <w:r w:rsidRPr="00214121">
        <w:rPr>
          <w:rFonts w:ascii="Arial" w:hAnsi="Arial"/>
        </w:rPr>
        <w:t>The date of transition is the start date of the earliest period reported in the financial statements.</w:t>
      </w:r>
      <w:r>
        <w:rPr>
          <w:rFonts w:ascii="Arial" w:hAnsi="Arial"/>
        </w:rPr>
        <w:t xml:space="preserve"> </w:t>
      </w:r>
    </w:p>
    <w:p w14:paraId="31D008B3" w14:textId="77777777" w:rsidR="007A52A3" w:rsidRPr="00214121" w:rsidRDefault="007A52A3" w:rsidP="00214121">
      <w:pPr>
        <w:spacing w:line="360" w:lineRule="auto"/>
        <w:rPr>
          <w:rFonts w:ascii="Arial" w:hAnsi="Arial"/>
        </w:rPr>
      </w:pPr>
    </w:p>
    <w:p w14:paraId="05556639" w14:textId="56CD2E4B" w:rsidR="007A52A3" w:rsidRPr="00214121" w:rsidRDefault="007A52A3" w:rsidP="00214121">
      <w:pPr>
        <w:spacing w:line="360" w:lineRule="auto"/>
        <w:rPr>
          <w:rFonts w:ascii="Arial" w:hAnsi="Arial"/>
          <w:b/>
          <w:i/>
        </w:rPr>
      </w:pPr>
      <w:r w:rsidRPr="00214121">
        <w:rPr>
          <w:rFonts w:ascii="Arial" w:hAnsi="Arial"/>
          <w:b/>
          <w:i/>
        </w:rPr>
        <w:t xml:space="preserve">Example 1: </w:t>
      </w:r>
      <w:r w:rsidR="00A52F85" w:rsidRPr="00214121">
        <w:rPr>
          <w:rFonts w:ascii="Arial" w:hAnsi="Arial"/>
          <w:b/>
          <w:i/>
        </w:rPr>
        <w:t>d</w:t>
      </w:r>
      <w:r w:rsidRPr="00214121">
        <w:rPr>
          <w:rFonts w:ascii="Arial" w:hAnsi="Arial"/>
          <w:b/>
          <w:i/>
        </w:rPr>
        <w:t>etermining the date of transition</w:t>
      </w:r>
    </w:p>
    <w:p w14:paraId="383F473D" w14:textId="663912A6" w:rsidR="007A52A3" w:rsidRPr="00214121" w:rsidRDefault="007A52A3" w:rsidP="00214121">
      <w:pPr>
        <w:spacing w:line="360" w:lineRule="auto"/>
        <w:rPr>
          <w:rFonts w:ascii="Arial" w:hAnsi="Arial"/>
        </w:rPr>
      </w:pPr>
      <w:r w:rsidRPr="00214121">
        <w:rPr>
          <w:rFonts w:ascii="Arial" w:hAnsi="Arial"/>
        </w:rPr>
        <w:t>Company A Ltd is preparing its first set of FRS 102 financial statements for its year</w:t>
      </w:r>
      <w:r w:rsidR="00A62FB7">
        <w:rPr>
          <w:rFonts w:ascii="Arial" w:hAnsi="Arial"/>
        </w:rPr>
        <w:t xml:space="preserve"> </w:t>
      </w:r>
      <w:r w:rsidRPr="00214121">
        <w:rPr>
          <w:rFonts w:ascii="Arial" w:hAnsi="Arial"/>
        </w:rPr>
        <w:t>ended 31 March 2017 and the financial controller is unsure as to the entity’s date of transition.</w:t>
      </w:r>
      <w:r>
        <w:rPr>
          <w:rFonts w:ascii="Arial" w:hAnsi="Arial"/>
        </w:rPr>
        <w:t xml:space="preserve"> </w:t>
      </w:r>
      <w:r w:rsidRPr="00214121">
        <w:rPr>
          <w:rFonts w:ascii="Arial" w:hAnsi="Arial"/>
        </w:rPr>
        <w:t>The company only includes the preceding year’s financial statements as comparatives.</w:t>
      </w:r>
    </w:p>
    <w:p w14:paraId="6E9CC147" w14:textId="77777777" w:rsidR="007A52A3" w:rsidRPr="00214121" w:rsidRDefault="007A52A3" w:rsidP="00214121">
      <w:pPr>
        <w:spacing w:line="360" w:lineRule="auto"/>
        <w:rPr>
          <w:rFonts w:ascii="Arial" w:hAnsi="Arial"/>
        </w:rPr>
      </w:pPr>
    </w:p>
    <w:p w14:paraId="0EAFC3FF" w14:textId="3A68B0E5" w:rsidR="007A52A3" w:rsidRPr="00214121" w:rsidRDefault="007A52A3" w:rsidP="00214121">
      <w:pPr>
        <w:spacing w:line="360" w:lineRule="auto"/>
        <w:rPr>
          <w:rFonts w:ascii="Arial" w:hAnsi="Arial"/>
        </w:rPr>
      </w:pPr>
      <w:r w:rsidRPr="00214121">
        <w:rPr>
          <w:rFonts w:ascii="Arial" w:hAnsi="Arial"/>
        </w:rPr>
        <w:t>The date of transition is the start date of the earliest period reported in the accounts.</w:t>
      </w:r>
      <w:r>
        <w:rPr>
          <w:rFonts w:ascii="Arial" w:hAnsi="Arial"/>
        </w:rPr>
        <w:t xml:space="preserve"> </w:t>
      </w:r>
      <w:r w:rsidRPr="00214121">
        <w:rPr>
          <w:rFonts w:ascii="Arial" w:hAnsi="Arial"/>
        </w:rPr>
        <w:t>The comparative year ended on 31 March 2016 and it started on 1 April 2015; therefore 1 April 2015 is the entity’s date of transition.</w:t>
      </w:r>
    </w:p>
    <w:p w14:paraId="07FEC337" w14:textId="77777777" w:rsidR="007A52A3" w:rsidRPr="00214121" w:rsidRDefault="007A52A3" w:rsidP="00214121">
      <w:pPr>
        <w:spacing w:line="360" w:lineRule="auto"/>
        <w:rPr>
          <w:rFonts w:ascii="Arial" w:hAnsi="Arial"/>
        </w:rPr>
      </w:pPr>
    </w:p>
    <w:p w14:paraId="5393C396" w14:textId="237FAE84" w:rsidR="007A52A3" w:rsidRPr="00214121" w:rsidRDefault="007A52A3" w:rsidP="00214121">
      <w:pPr>
        <w:spacing w:line="360" w:lineRule="auto"/>
        <w:rPr>
          <w:rFonts w:ascii="Arial" w:hAnsi="Arial"/>
        </w:rPr>
      </w:pPr>
      <w:r w:rsidRPr="00214121">
        <w:rPr>
          <w:rFonts w:ascii="Arial" w:hAnsi="Arial"/>
        </w:rPr>
        <w:t>Company B Ltd is preparing its first set of FRS 102 financial statements for its year</w:t>
      </w:r>
      <w:r w:rsidR="00FD7A72">
        <w:rPr>
          <w:rFonts w:ascii="Arial" w:hAnsi="Arial"/>
        </w:rPr>
        <w:t xml:space="preserve"> </w:t>
      </w:r>
      <w:r w:rsidRPr="00214121">
        <w:rPr>
          <w:rFonts w:ascii="Arial" w:hAnsi="Arial"/>
        </w:rPr>
        <w:t>ended 31 July 2017 and the accounts senior is unsure as to the entity’s date of transition.</w:t>
      </w:r>
      <w:r>
        <w:rPr>
          <w:rFonts w:ascii="Arial" w:hAnsi="Arial"/>
        </w:rPr>
        <w:t xml:space="preserve"> </w:t>
      </w:r>
      <w:r w:rsidRPr="00214121">
        <w:rPr>
          <w:rFonts w:ascii="Arial" w:hAnsi="Arial"/>
        </w:rPr>
        <w:t>The company only includes the preceding year’s financial statements as comparatives.</w:t>
      </w:r>
    </w:p>
    <w:p w14:paraId="66C32A94" w14:textId="77777777" w:rsidR="007A52A3" w:rsidRPr="00214121" w:rsidRDefault="007A52A3" w:rsidP="00214121">
      <w:pPr>
        <w:spacing w:line="360" w:lineRule="auto"/>
        <w:rPr>
          <w:rFonts w:ascii="Arial" w:hAnsi="Arial"/>
        </w:rPr>
      </w:pPr>
    </w:p>
    <w:p w14:paraId="68456ED8" w14:textId="77777777" w:rsidR="007A52A3" w:rsidRPr="00214121" w:rsidRDefault="007A52A3" w:rsidP="00214121">
      <w:pPr>
        <w:spacing w:line="360" w:lineRule="auto"/>
        <w:rPr>
          <w:rFonts w:ascii="Arial" w:hAnsi="Arial"/>
        </w:rPr>
      </w:pPr>
      <w:r w:rsidRPr="00214121">
        <w:rPr>
          <w:rFonts w:ascii="Arial" w:hAnsi="Arial"/>
        </w:rPr>
        <w:t>In Company B’s case, the date of transition will be 1 August 2015, being the start date of the earliest period reported in the financial statements.</w:t>
      </w:r>
    </w:p>
    <w:p w14:paraId="4ABA30B5" w14:textId="77777777" w:rsidR="007A52A3" w:rsidRPr="00214121" w:rsidRDefault="007A52A3" w:rsidP="00214121">
      <w:pPr>
        <w:spacing w:line="360" w:lineRule="auto"/>
        <w:rPr>
          <w:rFonts w:ascii="Arial" w:hAnsi="Arial"/>
        </w:rPr>
      </w:pPr>
    </w:p>
    <w:p w14:paraId="56F17867" w14:textId="40A7A587" w:rsidR="007A52A3" w:rsidRPr="00214121" w:rsidRDefault="007A52A3" w:rsidP="00214121">
      <w:pPr>
        <w:spacing w:line="360" w:lineRule="auto"/>
        <w:rPr>
          <w:rFonts w:ascii="Arial" w:hAnsi="Arial"/>
        </w:rPr>
      </w:pPr>
      <w:r w:rsidRPr="00214121">
        <w:rPr>
          <w:rFonts w:ascii="Arial" w:hAnsi="Arial"/>
        </w:rPr>
        <w:t>It should be noted that in all cases, reporting entities’ dates of transition will have been and gone.</w:t>
      </w:r>
    </w:p>
    <w:p w14:paraId="08A4E1A3" w14:textId="77777777" w:rsidR="007A52A3" w:rsidRPr="00214121" w:rsidRDefault="007A52A3" w:rsidP="00214121">
      <w:pPr>
        <w:pStyle w:val="Heading2"/>
        <w:spacing w:line="360" w:lineRule="auto"/>
        <w:rPr>
          <w:rFonts w:ascii="Arial" w:hAnsi="Arial"/>
          <w:i w:val="0"/>
          <w:sz w:val="24"/>
          <w:szCs w:val="24"/>
        </w:rPr>
      </w:pPr>
      <w:r w:rsidRPr="00214121">
        <w:rPr>
          <w:rFonts w:ascii="Arial" w:hAnsi="Arial"/>
          <w:i w:val="0"/>
          <w:sz w:val="24"/>
          <w:szCs w:val="24"/>
        </w:rPr>
        <w:t>Mandatory exemptions from retrospective application</w:t>
      </w:r>
    </w:p>
    <w:p w14:paraId="5B353525" w14:textId="7A8613AA" w:rsidR="007A52A3" w:rsidRDefault="007A52A3" w:rsidP="00214121">
      <w:pPr>
        <w:spacing w:line="360" w:lineRule="auto"/>
        <w:rPr>
          <w:rFonts w:ascii="Arial" w:hAnsi="Arial"/>
        </w:rPr>
      </w:pPr>
      <w:r w:rsidRPr="00214121">
        <w:rPr>
          <w:rFonts w:ascii="Arial" w:hAnsi="Arial"/>
        </w:rPr>
        <w:t xml:space="preserve">Paragraph 35.9 of FRS 102 prohibits a first-time adopter from retrospectively changing the accounting </w:t>
      </w:r>
      <w:r w:rsidR="00154BBB">
        <w:rPr>
          <w:rFonts w:ascii="Arial" w:hAnsi="Arial"/>
        </w:rPr>
        <w:t>that</w:t>
      </w:r>
      <w:r w:rsidRPr="00214121">
        <w:rPr>
          <w:rFonts w:ascii="Arial" w:hAnsi="Arial"/>
        </w:rPr>
        <w:t xml:space="preserve"> it followed under its previous GAAP for any of the following types of transactions:</w:t>
      </w:r>
    </w:p>
    <w:p w14:paraId="04AD68FB" w14:textId="77777777" w:rsidR="004A73AB" w:rsidRPr="00214121" w:rsidRDefault="004A73AB" w:rsidP="00214121">
      <w:pPr>
        <w:spacing w:line="360" w:lineRule="auto"/>
        <w:rPr>
          <w:rFonts w:ascii="Arial" w:hAnsi="Arial"/>
        </w:rPr>
      </w:pPr>
    </w:p>
    <w:p w14:paraId="2344C2E8" w14:textId="77777777" w:rsidR="007A52A3" w:rsidRPr="00214121" w:rsidRDefault="007A52A3" w:rsidP="00214121">
      <w:pPr>
        <w:pStyle w:val="Heading3"/>
        <w:keepLines/>
        <w:numPr>
          <w:ilvl w:val="0"/>
          <w:numId w:val="20"/>
        </w:numPr>
        <w:spacing w:before="40" w:after="0" w:line="360" w:lineRule="auto"/>
        <w:jc w:val="both"/>
        <w:rPr>
          <w:sz w:val="24"/>
          <w:szCs w:val="24"/>
        </w:rPr>
      </w:pPr>
      <w:r w:rsidRPr="00214121">
        <w:rPr>
          <w:sz w:val="24"/>
          <w:szCs w:val="24"/>
        </w:rPr>
        <w:t>Derecognition of financial assets and financial liabilities</w:t>
      </w:r>
    </w:p>
    <w:p w14:paraId="1FF5F86E" w14:textId="55DDAB8C" w:rsidR="007A52A3" w:rsidRPr="00214121" w:rsidRDefault="007A52A3" w:rsidP="00214121">
      <w:pPr>
        <w:spacing w:line="360" w:lineRule="auto"/>
        <w:ind w:left="360"/>
        <w:rPr>
          <w:rFonts w:ascii="Arial" w:hAnsi="Arial"/>
        </w:rPr>
      </w:pPr>
      <w:r w:rsidRPr="00214121">
        <w:rPr>
          <w:rFonts w:ascii="Arial" w:hAnsi="Arial"/>
        </w:rPr>
        <w:t>Where financial assets and financial liabilities were derecognised under previous UK GAAP prior to the date of transition, they are not to be recognised on transition to FRS 102.</w:t>
      </w:r>
      <w:r>
        <w:rPr>
          <w:rFonts w:ascii="Arial" w:hAnsi="Arial"/>
        </w:rPr>
        <w:t xml:space="preserve"> </w:t>
      </w:r>
      <w:r w:rsidRPr="00214121">
        <w:rPr>
          <w:rFonts w:ascii="Arial" w:hAnsi="Arial"/>
        </w:rPr>
        <w:t xml:space="preserve">Also, where a financial asset or a financial liability (or group of financial assets and </w:t>
      </w:r>
      <w:r w:rsidRPr="00214121">
        <w:rPr>
          <w:rFonts w:ascii="Arial" w:hAnsi="Arial"/>
        </w:rPr>
        <w:lastRenderedPageBreak/>
        <w:t xml:space="preserve">financial liabilities) would have been derecognised under FRS 102 in a transaction which took place prior to the date of transition, but which </w:t>
      </w:r>
      <w:r w:rsidR="008E2595">
        <w:rPr>
          <w:rFonts w:ascii="Arial" w:hAnsi="Arial"/>
        </w:rPr>
        <w:t>has</w:t>
      </w:r>
      <w:r w:rsidRPr="00214121">
        <w:rPr>
          <w:rFonts w:ascii="Arial" w:hAnsi="Arial"/>
        </w:rPr>
        <w:t xml:space="preserve"> not been derecognised under previous UK GAAP, the entity can either derecognise them on adoption of FRS 102, or continue to recognise them until they are either disposed of or settled.</w:t>
      </w:r>
    </w:p>
    <w:p w14:paraId="3A4845A4" w14:textId="77777777" w:rsidR="007A52A3" w:rsidRPr="00214121" w:rsidRDefault="007A52A3" w:rsidP="00214121">
      <w:pPr>
        <w:pStyle w:val="Heading3"/>
        <w:keepLines/>
        <w:numPr>
          <w:ilvl w:val="0"/>
          <w:numId w:val="20"/>
        </w:numPr>
        <w:spacing w:before="40" w:after="0" w:line="360" w:lineRule="auto"/>
        <w:jc w:val="both"/>
        <w:rPr>
          <w:sz w:val="24"/>
          <w:szCs w:val="24"/>
        </w:rPr>
      </w:pPr>
      <w:r w:rsidRPr="00214121">
        <w:rPr>
          <w:sz w:val="24"/>
          <w:szCs w:val="24"/>
        </w:rPr>
        <w:t>Accounting estimates</w:t>
      </w:r>
    </w:p>
    <w:p w14:paraId="01A46878" w14:textId="1C55A45E" w:rsidR="007A52A3" w:rsidRPr="00214121" w:rsidRDefault="007A52A3" w:rsidP="00214121">
      <w:pPr>
        <w:spacing w:line="360" w:lineRule="auto"/>
        <w:ind w:left="360"/>
        <w:rPr>
          <w:rFonts w:ascii="Arial" w:hAnsi="Arial"/>
        </w:rPr>
      </w:pPr>
      <w:r w:rsidRPr="00214121">
        <w:rPr>
          <w:rFonts w:ascii="Arial" w:hAnsi="Arial"/>
        </w:rPr>
        <w:t>Accounting estimates at the date of transition cannot be changed for the benefits of hindsight.</w:t>
      </w:r>
      <w:r>
        <w:rPr>
          <w:rFonts w:ascii="Arial" w:hAnsi="Arial"/>
        </w:rPr>
        <w:t xml:space="preserve"> </w:t>
      </w:r>
      <w:r w:rsidRPr="00214121">
        <w:rPr>
          <w:rFonts w:ascii="Arial" w:hAnsi="Arial"/>
        </w:rPr>
        <w:t>Therefore, if the reporting entity had a provision for liabilities at its date of transition, but now knows the outcome of the event or condition that gave rise to that provision, it cannot retrospectively change the amount of the estimate.</w:t>
      </w:r>
    </w:p>
    <w:p w14:paraId="1B486670" w14:textId="77777777" w:rsidR="007A52A3" w:rsidRPr="00214121" w:rsidRDefault="007A52A3" w:rsidP="00214121">
      <w:pPr>
        <w:pStyle w:val="Heading3"/>
        <w:keepLines/>
        <w:numPr>
          <w:ilvl w:val="0"/>
          <w:numId w:val="20"/>
        </w:numPr>
        <w:spacing w:before="40" w:after="0" w:line="360" w:lineRule="auto"/>
        <w:jc w:val="both"/>
        <w:rPr>
          <w:sz w:val="24"/>
          <w:szCs w:val="24"/>
        </w:rPr>
      </w:pPr>
      <w:r w:rsidRPr="00214121">
        <w:rPr>
          <w:sz w:val="24"/>
          <w:szCs w:val="24"/>
        </w:rPr>
        <w:t>Discontinued operations</w:t>
      </w:r>
    </w:p>
    <w:p w14:paraId="438E9BEC" w14:textId="4917852B" w:rsidR="007A52A3" w:rsidRPr="00214121" w:rsidRDefault="007A52A3" w:rsidP="00214121">
      <w:pPr>
        <w:spacing w:line="360" w:lineRule="auto"/>
        <w:ind w:left="360"/>
        <w:rPr>
          <w:rFonts w:ascii="Arial" w:hAnsi="Arial"/>
        </w:rPr>
      </w:pPr>
      <w:r w:rsidRPr="00214121">
        <w:rPr>
          <w:rFonts w:ascii="Arial" w:hAnsi="Arial"/>
        </w:rPr>
        <w:t xml:space="preserve">The entity must not change the accounting </w:t>
      </w:r>
      <w:r w:rsidR="0026141B">
        <w:rPr>
          <w:rFonts w:ascii="Arial" w:hAnsi="Arial"/>
        </w:rPr>
        <w:t>that</w:t>
      </w:r>
      <w:r w:rsidRPr="00214121">
        <w:rPr>
          <w:rFonts w:ascii="Arial" w:hAnsi="Arial"/>
        </w:rPr>
        <w:t xml:space="preserve"> it followed under previous GAAP for discontinued operations.</w:t>
      </w:r>
      <w:r>
        <w:rPr>
          <w:rFonts w:ascii="Arial" w:hAnsi="Arial"/>
        </w:rPr>
        <w:t xml:space="preserve"> </w:t>
      </w:r>
      <w:r w:rsidRPr="00214121">
        <w:rPr>
          <w:rFonts w:ascii="Arial" w:hAnsi="Arial"/>
        </w:rPr>
        <w:t>Therefore, no reclassification or remeasurement will be recognised for discontinued operations that have been accounted for under previous UK GAAP.</w:t>
      </w:r>
    </w:p>
    <w:p w14:paraId="51008BC8" w14:textId="77777777" w:rsidR="007A52A3" w:rsidRPr="00214121" w:rsidRDefault="007A52A3" w:rsidP="00214121">
      <w:pPr>
        <w:pStyle w:val="Heading3"/>
        <w:keepLines/>
        <w:numPr>
          <w:ilvl w:val="0"/>
          <w:numId w:val="20"/>
        </w:numPr>
        <w:spacing w:before="40" w:after="0" w:line="360" w:lineRule="auto"/>
        <w:jc w:val="both"/>
        <w:rPr>
          <w:sz w:val="24"/>
          <w:szCs w:val="24"/>
        </w:rPr>
      </w:pPr>
      <w:r w:rsidRPr="00214121">
        <w:rPr>
          <w:sz w:val="24"/>
          <w:szCs w:val="24"/>
        </w:rPr>
        <w:t>Non-controlling interests</w:t>
      </w:r>
    </w:p>
    <w:p w14:paraId="1CFF4E20" w14:textId="788175C7" w:rsidR="007A52A3" w:rsidRPr="00214121" w:rsidRDefault="007A52A3" w:rsidP="00214121">
      <w:pPr>
        <w:spacing w:line="360" w:lineRule="auto"/>
        <w:ind w:left="360"/>
        <w:rPr>
          <w:rFonts w:ascii="Arial" w:hAnsi="Arial"/>
        </w:rPr>
      </w:pPr>
      <w:r w:rsidRPr="00214121">
        <w:rPr>
          <w:rFonts w:ascii="Arial" w:hAnsi="Arial"/>
        </w:rPr>
        <w:t xml:space="preserve">The entity must not retrospectively change the accounting </w:t>
      </w:r>
      <w:r w:rsidR="008031F1">
        <w:rPr>
          <w:rFonts w:ascii="Arial" w:hAnsi="Arial"/>
        </w:rPr>
        <w:t>that</w:t>
      </w:r>
      <w:r w:rsidRPr="00214121">
        <w:rPr>
          <w:rFonts w:ascii="Arial" w:hAnsi="Arial"/>
        </w:rPr>
        <w:t xml:space="preserve"> it followed under previous UK GAAP for measuring non-controlling interests (referred to as ‘minority interests’ in previous GAAP).</w:t>
      </w:r>
      <w:r>
        <w:rPr>
          <w:rFonts w:ascii="Arial" w:hAnsi="Arial"/>
        </w:rPr>
        <w:t xml:space="preserve"> </w:t>
      </w:r>
      <w:r w:rsidRPr="00214121">
        <w:rPr>
          <w:rFonts w:ascii="Arial" w:hAnsi="Arial"/>
        </w:rPr>
        <w:t>The requirements to:</w:t>
      </w:r>
    </w:p>
    <w:p w14:paraId="0964ECA2" w14:textId="7CE610F1" w:rsidR="007A52A3" w:rsidRPr="00214121" w:rsidRDefault="007A52A3" w:rsidP="00214121">
      <w:pPr>
        <w:pStyle w:val="ListParagraph"/>
        <w:numPr>
          <w:ilvl w:val="0"/>
          <w:numId w:val="21"/>
        </w:numPr>
        <w:spacing w:line="360" w:lineRule="auto"/>
        <w:rPr>
          <w:rFonts w:ascii="Arial" w:hAnsi="Arial"/>
          <w:sz w:val="24"/>
        </w:rPr>
      </w:pPr>
      <w:r w:rsidRPr="00214121">
        <w:rPr>
          <w:rFonts w:ascii="Arial" w:hAnsi="Arial"/>
          <w:sz w:val="24"/>
        </w:rPr>
        <w:t>allocate profit or loss and total comprehensive income between non-controlling interest</w:t>
      </w:r>
      <w:r w:rsidR="008031F1">
        <w:rPr>
          <w:rFonts w:ascii="Arial" w:hAnsi="Arial"/>
          <w:sz w:val="24"/>
        </w:rPr>
        <w:t>s and owners of the parent</w:t>
      </w:r>
      <w:r w:rsidR="00CC4DB2">
        <w:rPr>
          <w:rFonts w:ascii="Arial" w:hAnsi="Arial"/>
          <w:sz w:val="24"/>
        </w:rPr>
        <w:t>,</w:t>
      </w:r>
    </w:p>
    <w:p w14:paraId="7FD6AF81" w14:textId="221AC758" w:rsidR="007A52A3" w:rsidRPr="00214121" w:rsidRDefault="007A52A3" w:rsidP="00214121">
      <w:pPr>
        <w:pStyle w:val="ListParagraph"/>
        <w:numPr>
          <w:ilvl w:val="0"/>
          <w:numId w:val="21"/>
        </w:numPr>
        <w:spacing w:line="360" w:lineRule="auto"/>
        <w:rPr>
          <w:rFonts w:ascii="Arial" w:hAnsi="Arial"/>
          <w:sz w:val="24"/>
        </w:rPr>
      </w:pPr>
      <w:r w:rsidRPr="00214121">
        <w:rPr>
          <w:rFonts w:ascii="Arial" w:hAnsi="Arial"/>
          <w:sz w:val="24"/>
        </w:rPr>
        <w:t>account for changes in the parent’s ownership interest in a subsidiary which do not result in a loss of control</w:t>
      </w:r>
      <w:r w:rsidR="00CC4DB2">
        <w:rPr>
          <w:rFonts w:ascii="Arial" w:hAnsi="Arial"/>
          <w:sz w:val="24"/>
        </w:rPr>
        <w:t>,</w:t>
      </w:r>
      <w:r w:rsidRPr="00214121">
        <w:rPr>
          <w:rFonts w:ascii="Arial" w:hAnsi="Arial"/>
          <w:sz w:val="24"/>
        </w:rPr>
        <w:t xml:space="preserve"> and</w:t>
      </w:r>
    </w:p>
    <w:p w14:paraId="6A17F1F4" w14:textId="2346CF6D" w:rsidR="007A52A3" w:rsidRPr="00214121" w:rsidRDefault="007A52A3" w:rsidP="00214121">
      <w:pPr>
        <w:pStyle w:val="ListParagraph"/>
        <w:numPr>
          <w:ilvl w:val="0"/>
          <w:numId w:val="21"/>
        </w:numPr>
        <w:spacing w:line="360" w:lineRule="auto"/>
        <w:rPr>
          <w:rFonts w:ascii="Arial" w:hAnsi="Arial"/>
          <w:sz w:val="24"/>
        </w:rPr>
      </w:pPr>
      <w:r w:rsidRPr="00214121">
        <w:rPr>
          <w:rFonts w:ascii="Arial" w:hAnsi="Arial"/>
          <w:sz w:val="24"/>
        </w:rPr>
        <w:t>account for a loss of control over a subsidiary</w:t>
      </w:r>
    </w:p>
    <w:p w14:paraId="1EEEC8A9" w14:textId="42760249" w:rsidR="007A52A3" w:rsidRPr="00214121" w:rsidRDefault="007A52A3" w:rsidP="00214121">
      <w:pPr>
        <w:pStyle w:val="ListParagraph"/>
        <w:spacing w:line="360" w:lineRule="auto"/>
        <w:ind w:left="360"/>
        <w:rPr>
          <w:rFonts w:ascii="Arial" w:hAnsi="Arial"/>
        </w:rPr>
      </w:pPr>
      <w:r w:rsidRPr="00214121">
        <w:rPr>
          <w:rFonts w:ascii="Arial" w:hAnsi="Arial"/>
          <w:sz w:val="24"/>
        </w:rPr>
        <w:t xml:space="preserve">must be applied </w:t>
      </w:r>
      <w:r w:rsidRPr="00214121">
        <w:rPr>
          <w:rFonts w:ascii="Arial" w:hAnsi="Arial"/>
          <w:b/>
          <w:sz w:val="24"/>
        </w:rPr>
        <w:t>prospectively</w:t>
      </w:r>
      <w:r w:rsidRPr="00214121">
        <w:rPr>
          <w:rFonts w:ascii="Arial" w:hAnsi="Arial"/>
          <w:sz w:val="24"/>
        </w:rPr>
        <w:t xml:space="preserve"> from the date of transition to FRS 102, or from such earlier date as FRS 102 is applied to restate business combinations (see the next section of this </w:t>
      </w:r>
      <w:r w:rsidR="00262313">
        <w:rPr>
          <w:rFonts w:ascii="Arial" w:hAnsi="Arial"/>
          <w:sz w:val="24"/>
        </w:rPr>
        <w:t>t</w:t>
      </w:r>
      <w:r w:rsidRPr="00214121">
        <w:rPr>
          <w:rFonts w:ascii="Arial" w:hAnsi="Arial"/>
          <w:sz w:val="24"/>
        </w:rPr>
        <w:t xml:space="preserve">echnical </w:t>
      </w:r>
      <w:r w:rsidR="00262313">
        <w:rPr>
          <w:rFonts w:ascii="Arial" w:hAnsi="Arial"/>
          <w:sz w:val="24"/>
        </w:rPr>
        <w:t>f</w:t>
      </w:r>
      <w:r w:rsidRPr="00214121">
        <w:rPr>
          <w:rFonts w:ascii="Arial" w:hAnsi="Arial"/>
          <w:sz w:val="24"/>
        </w:rPr>
        <w:t>actsheet, ‘Optional exemptions from retrospective application’).</w:t>
      </w:r>
    </w:p>
    <w:p w14:paraId="4994D096" w14:textId="77777777" w:rsidR="007A52A3" w:rsidRPr="00214121" w:rsidRDefault="007A52A3" w:rsidP="00214121">
      <w:pPr>
        <w:pStyle w:val="Heading2"/>
        <w:spacing w:line="360" w:lineRule="auto"/>
        <w:rPr>
          <w:rFonts w:ascii="Arial" w:hAnsi="Arial"/>
          <w:i w:val="0"/>
          <w:sz w:val="24"/>
          <w:szCs w:val="24"/>
        </w:rPr>
      </w:pPr>
      <w:r w:rsidRPr="00214121">
        <w:rPr>
          <w:rFonts w:ascii="Arial" w:hAnsi="Arial"/>
          <w:i w:val="0"/>
          <w:sz w:val="24"/>
          <w:szCs w:val="24"/>
        </w:rPr>
        <w:t>Optional exemptions from retrospective application</w:t>
      </w:r>
    </w:p>
    <w:p w14:paraId="0BD39FC4" w14:textId="0BA1215B" w:rsidR="007A52A3" w:rsidRPr="00214121" w:rsidRDefault="007A52A3" w:rsidP="00214121">
      <w:pPr>
        <w:spacing w:line="360" w:lineRule="auto"/>
        <w:rPr>
          <w:rFonts w:ascii="Arial" w:hAnsi="Arial"/>
        </w:rPr>
      </w:pPr>
      <w:r w:rsidRPr="00214121">
        <w:rPr>
          <w:rFonts w:ascii="Arial" w:hAnsi="Arial"/>
        </w:rPr>
        <w:t xml:space="preserve">Paragraph 35.10 contains 21 </w:t>
      </w:r>
      <w:r w:rsidRPr="00214121">
        <w:rPr>
          <w:rFonts w:ascii="Arial" w:hAnsi="Arial"/>
          <w:b/>
        </w:rPr>
        <w:t xml:space="preserve">optional </w:t>
      </w:r>
      <w:r w:rsidRPr="00214121">
        <w:rPr>
          <w:rFonts w:ascii="Arial" w:hAnsi="Arial"/>
        </w:rPr>
        <w:t>exemptions from retrospective application of FRS 102</w:t>
      </w:r>
      <w:r w:rsidR="000D06F4">
        <w:rPr>
          <w:rFonts w:ascii="Arial" w:hAnsi="Arial"/>
        </w:rPr>
        <w:t>,</w:t>
      </w:r>
      <w:r w:rsidRPr="00214121">
        <w:rPr>
          <w:rFonts w:ascii="Arial" w:hAnsi="Arial"/>
        </w:rPr>
        <w:t xml:space="preserve"> which a first-time adopter may wish to take advantage of in its first set of FRS 102 financial statements.</w:t>
      </w:r>
      <w:r>
        <w:rPr>
          <w:rFonts w:ascii="Arial" w:hAnsi="Arial"/>
        </w:rPr>
        <w:t xml:space="preserve"> </w:t>
      </w:r>
      <w:r w:rsidRPr="00214121">
        <w:rPr>
          <w:rFonts w:ascii="Arial" w:hAnsi="Arial"/>
        </w:rPr>
        <w:t>Small entities have an additional three optional exemptions available to them in respect of:</w:t>
      </w:r>
    </w:p>
    <w:p w14:paraId="50A4D946" w14:textId="2B406E18" w:rsidR="007A52A3" w:rsidRPr="00214121" w:rsidRDefault="007A52A3" w:rsidP="00214121">
      <w:pPr>
        <w:pStyle w:val="ListParagraph"/>
        <w:numPr>
          <w:ilvl w:val="0"/>
          <w:numId w:val="20"/>
        </w:numPr>
        <w:spacing w:line="360" w:lineRule="auto"/>
        <w:rPr>
          <w:rFonts w:ascii="Arial" w:hAnsi="Arial"/>
          <w:sz w:val="24"/>
        </w:rPr>
      </w:pPr>
      <w:r w:rsidRPr="00214121">
        <w:rPr>
          <w:rFonts w:ascii="Arial" w:hAnsi="Arial"/>
          <w:sz w:val="24"/>
        </w:rPr>
        <w:t>share-based payment transactions</w:t>
      </w:r>
    </w:p>
    <w:p w14:paraId="5F303FAC" w14:textId="61CC60EA" w:rsidR="007A52A3" w:rsidRPr="00214121" w:rsidRDefault="007A52A3" w:rsidP="00214121">
      <w:pPr>
        <w:pStyle w:val="ListParagraph"/>
        <w:numPr>
          <w:ilvl w:val="0"/>
          <w:numId w:val="20"/>
        </w:numPr>
        <w:spacing w:line="360" w:lineRule="auto"/>
        <w:rPr>
          <w:rFonts w:ascii="Arial" w:hAnsi="Arial"/>
          <w:sz w:val="24"/>
        </w:rPr>
      </w:pPr>
      <w:r w:rsidRPr="00214121">
        <w:rPr>
          <w:rFonts w:ascii="Arial" w:hAnsi="Arial"/>
          <w:sz w:val="24"/>
        </w:rPr>
        <w:t>fair value measurement of financial instruments</w:t>
      </w:r>
    </w:p>
    <w:p w14:paraId="5907A33E" w14:textId="77777777" w:rsidR="007A52A3" w:rsidRPr="00214121" w:rsidRDefault="007A52A3" w:rsidP="00214121">
      <w:pPr>
        <w:pStyle w:val="ListParagraph"/>
        <w:numPr>
          <w:ilvl w:val="0"/>
          <w:numId w:val="20"/>
        </w:numPr>
        <w:spacing w:line="360" w:lineRule="auto"/>
        <w:rPr>
          <w:rFonts w:ascii="Arial" w:hAnsi="Arial"/>
          <w:sz w:val="24"/>
        </w:rPr>
      </w:pPr>
      <w:r w:rsidRPr="00214121">
        <w:rPr>
          <w:rFonts w:ascii="Arial" w:hAnsi="Arial"/>
          <w:sz w:val="24"/>
        </w:rPr>
        <w:t xml:space="preserve">financing transactions involving related parties. </w:t>
      </w:r>
    </w:p>
    <w:p w14:paraId="150E61BC" w14:textId="77777777" w:rsidR="007A52A3" w:rsidRPr="00214121" w:rsidRDefault="007A52A3" w:rsidP="00214121">
      <w:pPr>
        <w:spacing w:line="360" w:lineRule="auto"/>
        <w:rPr>
          <w:rFonts w:ascii="Arial" w:hAnsi="Arial"/>
        </w:rPr>
      </w:pPr>
    </w:p>
    <w:p w14:paraId="63C82576" w14:textId="5BA1B739" w:rsidR="007A52A3" w:rsidRPr="00214121" w:rsidRDefault="007A52A3" w:rsidP="00214121">
      <w:pPr>
        <w:spacing w:line="360" w:lineRule="auto"/>
        <w:rPr>
          <w:rFonts w:ascii="Arial" w:hAnsi="Arial"/>
        </w:rPr>
      </w:pPr>
      <w:r w:rsidRPr="00214121">
        <w:rPr>
          <w:rFonts w:ascii="Arial" w:hAnsi="Arial"/>
        </w:rPr>
        <w:t>In respect of the optional exemptions, a small entity can take advantage of all, some or none of them as applicable.</w:t>
      </w:r>
      <w:r>
        <w:rPr>
          <w:rFonts w:ascii="Arial" w:hAnsi="Arial"/>
        </w:rPr>
        <w:t xml:space="preserve"> </w:t>
      </w:r>
      <w:r w:rsidRPr="00214121">
        <w:rPr>
          <w:rFonts w:ascii="Arial" w:hAnsi="Arial"/>
        </w:rPr>
        <w:t xml:space="preserve">In the vast majority of cases, it is unlikely that a small entity will be able to take advantage of all of the optional exemptions. </w:t>
      </w:r>
    </w:p>
    <w:p w14:paraId="10521A9A" w14:textId="77777777" w:rsidR="007A52A3" w:rsidRPr="00214121" w:rsidRDefault="007A52A3" w:rsidP="00214121">
      <w:pPr>
        <w:spacing w:line="360" w:lineRule="auto"/>
        <w:rPr>
          <w:rFonts w:ascii="Arial" w:hAnsi="Arial"/>
        </w:rPr>
      </w:pPr>
    </w:p>
    <w:p w14:paraId="38D34DA7" w14:textId="77777777" w:rsidR="007A52A3" w:rsidRPr="00214121" w:rsidRDefault="007A52A3" w:rsidP="00214121">
      <w:pPr>
        <w:pStyle w:val="Heading3"/>
        <w:keepLines/>
        <w:numPr>
          <w:ilvl w:val="0"/>
          <w:numId w:val="20"/>
        </w:numPr>
        <w:spacing w:before="40" w:after="0" w:line="360" w:lineRule="auto"/>
        <w:jc w:val="both"/>
        <w:rPr>
          <w:sz w:val="24"/>
          <w:szCs w:val="24"/>
        </w:rPr>
      </w:pPr>
      <w:r w:rsidRPr="00214121">
        <w:rPr>
          <w:sz w:val="24"/>
          <w:szCs w:val="24"/>
        </w:rPr>
        <w:t>Business combinations, including group reconstructions</w:t>
      </w:r>
    </w:p>
    <w:p w14:paraId="1D56D2FE" w14:textId="6F5F8428" w:rsidR="007A52A3" w:rsidRPr="00214121" w:rsidRDefault="007A52A3" w:rsidP="00214121">
      <w:pPr>
        <w:spacing w:line="360" w:lineRule="auto"/>
        <w:ind w:left="360"/>
        <w:rPr>
          <w:rFonts w:ascii="Arial" w:hAnsi="Arial"/>
        </w:rPr>
      </w:pPr>
      <w:r w:rsidRPr="00214121">
        <w:rPr>
          <w:rFonts w:ascii="Arial" w:hAnsi="Arial"/>
        </w:rPr>
        <w:t xml:space="preserve">A first-time adopter does not have to apply </w:t>
      </w:r>
      <w:r w:rsidR="0000652F">
        <w:rPr>
          <w:rFonts w:ascii="Arial" w:hAnsi="Arial"/>
        </w:rPr>
        <w:t>s</w:t>
      </w:r>
      <w:r w:rsidRPr="00214121">
        <w:rPr>
          <w:rFonts w:ascii="Arial" w:hAnsi="Arial"/>
        </w:rPr>
        <w:t>ection 19</w:t>
      </w:r>
      <w:r w:rsidR="001A0D10">
        <w:rPr>
          <w:rFonts w:ascii="Arial" w:hAnsi="Arial"/>
        </w:rPr>
        <w:t>,</w:t>
      </w:r>
      <w:r w:rsidRPr="00214121">
        <w:rPr>
          <w:rFonts w:ascii="Arial" w:hAnsi="Arial"/>
        </w:rPr>
        <w:t xml:space="preserve"> </w:t>
      </w:r>
      <w:r w:rsidR="001A0D10">
        <w:rPr>
          <w:rFonts w:ascii="Arial" w:hAnsi="Arial"/>
        </w:rPr>
        <w:t>‘</w:t>
      </w:r>
      <w:r w:rsidRPr="00214121">
        <w:rPr>
          <w:rFonts w:ascii="Arial" w:hAnsi="Arial"/>
        </w:rPr>
        <w:t>Business Combinations and Goodwill</w:t>
      </w:r>
      <w:r w:rsidR="001A0D10">
        <w:rPr>
          <w:rFonts w:ascii="Arial" w:hAnsi="Arial"/>
        </w:rPr>
        <w:t>’,</w:t>
      </w:r>
      <w:r w:rsidRPr="00214121">
        <w:rPr>
          <w:rFonts w:ascii="Arial" w:hAnsi="Arial"/>
        </w:rPr>
        <w:t xml:space="preserve"> to those business combinations </w:t>
      </w:r>
      <w:r w:rsidR="00843AF5">
        <w:rPr>
          <w:rFonts w:ascii="Arial" w:hAnsi="Arial"/>
        </w:rPr>
        <w:t>that</w:t>
      </w:r>
      <w:r w:rsidRPr="00214121">
        <w:rPr>
          <w:rFonts w:ascii="Arial" w:hAnsi="Arial"/>
        </w:rPr>
        <w:t xml:space="preserve"> took place </w:t>
      </w:r>
      <w:r w:rsidRPr="00214121">
        <w:rPr>
          <w:rFonts w:ascii="Arial" w:hAnsi="Arial"/>
          <w:i/>
        </w:rPr>
        <w:t xml:space="preserve">before </w:t>
      </w:r>
      <w:r w:rsidRPr="00214121">
        <w:rPr>
          <w:rFonts w:ascii="Arial" w:hAnsi="Arial"/>
        </w:rPr>
        <w:t>the date of transition.</w:t>
      </w:r>
      <w:r>
        <w:rPr>
          <w:rFonts w:ascii="Arial" w:hAnsi="Arial"/>
        </w:rPr>
        <w:t xml:space="preserve"> </w:t>
      </w:r>
      <w:r w:rsidRPr="00214121">
        <w:rPr>
          <w:rFonts w:ascii="Arial" w:hAnsi="Arial"/>
        </w:rPr>
        <w:t xml:space="preserve">However, where the entity restates any business combination so as to comply with </w:t>
      </w:r>
      <w:r w:rsidR="0000652F">
        <w:rPr>
          <w:rFonts w:ascii="Arial" w:hAnsi="Arial"/>
        </w:rPr>
        <w:t>s</w:t>
      </w:r>
      <w:r w:rsidRPr="00214121">
        <w:rPr>
          <w:rFonts w:ascii="Arial" w:hAnsi="Arial"/>
        </w:rPr>
        <w:t>ection 19, it must restate all later business combinations.</w:t>
      </w:r>
      <w:r>
        <w:rPr>
          <w:rFonts w:ascii="Arial" w:hAnsi="Arial"/>
        </w:rPr>
        <w:t xml:space="preserve"> </w:t>
      </w:r>
      <w:r w:rsidRPr="00214121">
        <w:rPr>
          <w:rFonts w:ascii="Arial" w:hAnsi="Arial"/>
        </w:rPr>
        <w:t xml:space="preserve">Where the provisions in </w:t>
      </w:r>
      <w:r w:rsidR="0000652F">
        <w:rPr>
          <w:rFonts w:ascii="Arial" w:hAnsi="Arial"/>
        </w:rPr>
        <w:t>s</w:t>
      </w:r>
      <w:r w:rsidRPr="00214121">
        <w:rPr>
          <w:rFonts w:ascii="Arial" w:hAnsi="Arial"/>
        </w:rPr>
        <w:t>ection 19 are not applied retrospectively, all assets and liabilities acquired or assumed in a past business combination at the date of transition will be recognised and measured in accordance with paragraphs 35.7 to 35.9 (or</w:t>
      </w:r>
      <w:r w:rsidR="006D020E">
        <w:rPr>
          <w:rFonts w:ascii="Arial" w:hAnsi="Arial"/>
        </w:rPr>
        <w:t>,</w:t>
      </w:r>
      <w:r w:rsidRPr="00214121">
        <w:rPr>
          <w:rFonts w:ascii="Arial" w:hAnsi="Arial"/>
        </w:rPr>
        <w:t xml:space="preserve"> if applicable, paragraphs 35.10(b) to (r)).</w:t>
      </w:r>
      <w:r>
        <w:rPr>
          <w:rFonts w:ascii="Arial" w:hAnsi="Arial"/>
        </w:rPr>
        <w:t xml:space="preserve"> </w:t>
      </w:r>
      <w:r w:rsidRPr="00214121">
        <w:rPr>
          <w:rFonts w:ascii="Arial" w:hAnsi="Arial"/>
        </w:rPr>
        <w:t>There are, however, two exceptions in respect of:</w:t>
      </w:r>
    </w:p>
    <w:p w14:paraId="26E90D27" w14:textId="77777777" w:rsidR="007A52A3" w:rsidRPr="00214121" w:rsidRDefault="007A52A3" w:rsidP="00214121">
      <w:pPr>
        <w:spacing w:line="360" w:lineRule="auto"/>
        <w:rPr>
          <w:rFonts w:ascii="Arial" w:hAnsi="Arial"/>
        </w:rPr>
      </w:pPr>
    </w:p>
    <w:p w14:paraId="55AA5175" w14:textId="61E4DC1B" w:rsidR="007A52A3" w:rsidRPr="00214121" w:rsidRDefault="007A52A3" w:rsidP="00214121">
      <w:pPr>
        <w:pStyle w:val="ListParagraph"/>
        <w:numPr>
          <w:ilvl w:val="1"/>
          <w:numId w:val="20"/>
        </w:numPr>
        <w:spacing w:line="360" w:lineRule="auto"/>
        <w:rPr>
          <w:rFonts w:ascii="Arial" w:hAnsi="Arial"/>
          <w:sz w:val="24"/>
        </w:rPr>
      </w:pPr>
      <w:r w:rsidRPr="00214121">
        <w:rPr>
          <w:rFonts w:ascii="Arial" w:hAnsi="Arial"/>
          <w:sz w:val="24"/>
        </w:rPr>
        <w:t>intangible assets (not goodwill): intangible assets subsumed within goodwill should not be recognised separately</w:t>
      </w:r>
    </w:p>
    <w:p w14:paraId="0203C981" w14:textId="77777777" w:rsidR="007A52A3" w:rsidRPr="00214121" w:rsidRDefault="007A52A3" w:rsidP="00214121">
      <w:pPr>
        <w:pStyle w:val="ListParagraph"/>
        <w:numPr>
          <w:ilvl w:val="1"/>
          <w:numId w:val="20"/>
        </w:numPr>
        <w:spacing w:line="360" w:lineRule="auto"/>
        <w:rPr>
          <w:rFonts w:ascii="Arial" w:hAnsi="Arial"/>
          <w:sz w:val="24"/>
        </w:rPr>
      </w:pPr>
      <w:r w:rsidRPr="00214121">
        <w:rPr>
          <w:rFonts w:ascii="Arial" w:hAnsi="Arial"/>
          <w:sz w:val="24"/>
        </w:rPr>
        <w:t>goodwill: no adjustment is made to the carrying amount of goodwill.</w:t>
      </w:r>
    </w:p>
    <w:p w14:paraId="6655FEBA" w14:textId="77777777" w:rsidR="007A52A3" w:rsidRPr="00214121" w:rsidRDefault="007A52A3" w:rsidP="00214121">
      <w:pPr>
        <w:spacing w:line="360" w:lineRule="auto"/>
        <w:rPr>
          <w:rFonts w:ascii="Arial" w:hAnsi="Arial"/>
        </w:rPr>
      </w:pPr>
    </w:p>
    <w:p w14:paraId="0C1A0D80" w14:textId="77777777" w:rsidR="007A52A3" w:rsidRPr="00214121" w:rsidRDefault="007A52A3" w:rsidP="00214121">
      <w:pPr>
        <w:pStyle w:val="Heading3"/>
        <w:keepLines/>
        <w:numPr>
          <w:ilvl w:val="0"/>
          <w:numId w:val="20"/>
        </w:numPr>
        <w:spacing w:before="40" w:after="0" w:line="360" w:lineRule="auto"/>
        <w:jc w:val="both"/>
        <w:rPr>
          <w:sz w:val="24"/>
          <w:szCs w:val="24"/>
        </w:rPr>
      </w:pPr>
      <w:r w:rsidRPr="00214121">
        <w:rPr>
          <w:sz w:val="24"/>
          <w:szCs w:val="24"/>
        </w:rPr>
        <w:t>Share-based payment transactions</w:t>
      </w:r>
    </w:p>
    <w:p w14:paraId="5E84AF81" w14:textId="399AEF69" w:rsidR="007A52A3" w:rsidRPr="00214121" w:rsidRDefault="007A52A3" w:rsidP="00214121">
      <w:pPr>
        <w:spacing w:line="360" w:lineRule="auto"/>
        <w:ind w:left="360"/>
        <w:rPr>
          <w:rFonts w:ascii="Arial" w:hAnsi="Arial"/>
        </w:rPr>
      </w:pPr>
      <w:r w:rsidRPr="00214121">
        <w:rPr>
          <w:rFonts w:ascii="Arial" w:hAnsi="Arial"/>
        </w:rPr>
        <w:t xml:space="preserve">For equity instruments granted </w:t>
      </w:r>
      <w:r w:rsidRPr="00214121">
        <w:rPr>
          <w:rFonts w:ascii="Arial" w:hAnsi="Arial"/>
          <w:i/>
        </w:rPr>
        <w:t xml:space="preserve">before </w:t>
      </w:r>
      <w:r w:rsidRPr="00214121">
        <w:rPr>
          <w:rFonts w:ascii="Arial" w:hAnsi="Arial"/>
        </w:rPr>
        <w:t xml:space="preserve">the date of transition, a first-time adopter does not have to apply </w:t>
      </w:r>
      <w:r w:rsidR="00B43358">
        <w:rPr>
          <w:rFonts w:ascii="Arial" w:hAnsi="Arial"/>
        </w:rPr>
        <w:t>s</w:t>
      </w:r>
      <w:r w:rsidRPr="00214121">
        <w:rPr>
          <w:rFonts w:ascii="Arial" w:hAnsi="Arial"/>
        </w:rPr>
        <w:t>ection 26</w:t>
      </w:r>
      <w:r w:rsidR="00BA6599">
        <w:rPr>
          <w:rFonts w:ascii="Arial" w:hAnsi="Arial"/>
        </w:rPr>
        <w:t>,</w:t>
      </w:r>
      <w:r w:rsidRPr="00214121">
        <w:rPr>
          <w:rFonts w:ascii="Arial" w:hAnsi="Arial"/>
        </w:rPr>
        <w:t xml:space="preserve"> </w:t>
      </w:r>
      <w:r w:rsidR="00BA6599">
        <w:rPr>
          <w:rFonts w:ascii="Arial" w:hAnsi="Arial"/>
        </w:rPr>
        <w:t>‘</w:t>
      </w:r>
      <w:r w:rsidRPr="00214121">
        <w:rPr>
          <w:rFonts w:ascii="Arial" w:hAnsi="Arial"/>
        </w:rPr>
        <w:t>Share-based Payment</w:t>
      </w:r>
      <w:r w:rsidR="00BA6599">
        <w:rPr>
          <w:rFonts w:ascii="Arial" w:hAnsi="Arial"/>
        </w:rPr>
        <w:t>’</w:t>
      </w:r>
      <w:r w:rsidRPr="00214121">
        <w:rPr>
          <w:rFonts w:ascii="Arial" w:hAnsi="Arial"/>
        </w:rPr>
        <w:t>.</w:t>
      </w:r>
      <w:r>
        <w:rPr>
          <w:rFonts w:ascii="Arial" w:hAnsi="Arial"/>
        </w:rPr>
        <w:t xml:space="preserve"> </w:t>
      </w:r>
      <w:r w:rsidRPr="00214121">
        <w:rPr>
          <w:rFonts w:ascii="Arial" w:hAnsi="Arial"/>
        </w:rPr>
        <w:t xml:space="preserve">This exemption also applies to liabilities arising from share-based payment transactions </w:t>
      </w:r>
      <w:r w:rsidR="007A244A">
        <w:rPr>
          <w:rFonts w:ascii="Arial" w:hAnsi="Arial"/>
        </w:rPr>
        <w:t>that</w:t>
      </w:r>
      <w:r w:rsidRPr="00214121">
        <w:rPr>
          <w:rFonts w:ascii="Arial" w:hAnsi="Arial"/>
        </w:rPr>
        <w:t xml:space="preserve"> were settled prior to the date of transition.</w:t>
      </w:r>
    </w:p>
    <w:p w14:paraId="234DD70F" w14:textId="77777777" w:rsidR="007A52A3" w:rsidRPr="00214121" w:rsidRDefault="007A52A3" w:rsidP="00214121">
      <w:pPr>
        <w:spacing w:line="360" w:lineRule="auto"/>
        <w:rPr>
          <w:rFonts w:ascii="Arial" w:hAnsi="Arial"/>
        </w:rPr>
      </w:pPr>
    </w:p>
    <w:p w14:paraId="7C402334" w14:textId="22410C69" w:rsidR="007A52A3" w:rsidRPr="00214121" w:rsidRDefault="007A52A3" w:rsidP="00214121">
      <w:pPr>
        <w:spacing w:line="360" w:lineRule="auto"/>
        <w:ind w:left="360"/>
        <w:contextualSpacing/>
        <w:rPr>
          <w:rFonts w:ascii="Arial" w:hAnsi="Arial"/>
        </w:rPr>
      </w:pPr>
      <w:r w:rsidRPr="00214121">
        <w:rPr>
          <w:rFonts w:ascii="Arial" w:hAnsi="Arial"/>
        </w:rPr>
        <w:t>Where a first-time adopter has previously applied either FRS 20</w:t>
      </w:r>
      <w:r w:rsidR="00EB1CDE">
        <w:rPr>
          <w:rFonts w:ascii="Arial" w:hAnsi="Arial"/>
        </w:rPr>
        <w:t>,</w:t>
      </w:r>
      <w:r w:rsidRPr="00214121">
        <w:rPr>
          <w:rFonts w:ascii="Arial" w:hAnsi="Arial"/>
        </w:rPr>
        <w:t xml:space="preserve"> </w:t>
      </w:r>
      <w:r w:rsidRPr="00214121">
        <w:rPr>
          <w:rFonts w:ascii="Arial" w:hAnsi="Arial"/>
          <w:i/>
        </w:rPr>
        <w:t>Share-based payment</w:t>
      </w:r>
      <w:r w:rsidR="00EB1CDE" w:rsidRPr="00214121">
        <w:rPr>
          <w:rFonts w:ascii="Arial" w:hAnsi="Arial"/>
        </w:rPr>
        <w:t>,</w:t>
      </w:r>
      <w:r w:rsidRPr="00214121">
        <w:rPr>
          <w:rFonts w:ascii="Arial" w:hAnsi="Arial"/>
          <w:i/>
        </w:rPr>
        <w:t xml:space="preserve"> </w:t>
      </w:r>
      <w:r w:rsidRPr="00214121">
        <w:rPr>
          <w:rFonts w:ascii="Arial" w:hAnsi="Arial"/>
        </w:rPr>
        <w:t>or IFRS 2</w:t>
      </w:r>
      <w:r w:rsidR="00EB1CDE">
        <w:rPr>
          <w:rFonts w:ascii="Arial" w:hAnsi="Arial"/>
        </w:rPr>
        <w:t>,</w:t>
      </w:r>
      <w:r w:rsidRPr="00214121">
        <w:rPr>
          <w:rFonts w:ascii="Arial" w:hAnsi="Arial"/>
        </w:rPr>
        <w:t xml:space="preserve"> </w:t>
      </w:r>
      <w:r w:rsidRPr="00214121">
        <w:rPr>
          <w:rFonts w:ascii="Arial" w:hAnsi="Arial"/>
          <w:i/>
        </w:rPr>
        <w:t>Share-based Paymen</w:t>
      </w:r>
      <w:r w:rsidRPr="00214121">
        <w:rPr>
          <w:rFonts w:ascii="Arial" w:hAnsi="Arial"/>
        </w:rPr>
        <w:t>t</w:t>
      </w:r>
      <w:r w:rsidR="00EB1CDE">
        <w:rPr>
          <w:rFonts w:ascii="Arial" w:hAnsi="Arial"/>
          <w:i/>
        </w:rPr>
        <w:t>,</w:t>
      </w:r>
      <w:r w:rsidRPr="00214121">
        <w:rPr>
          <w:rFonts w:ascii="Arial" w:hAnsi="Arial"/>
          <w:i/>
        </w:rPr>
        <w:t xml:space="preserve"> </w:t>
      </w:r>
      <w:r w:rsidRPr="00214121">
        <w:rPr>
          <w:rFonts w:ascii="Arial" w:hAnsi="Arial"/>
        </w:rPr>
        <w:t xml:space="preserve">to equity instruments granted BEFORE the date of transition, the entity must then apply FRS 20/IFRS 2 (as applicable) or </w:t>
      </w:r>
      <w:r w:rsidR="00B43358">
        <w:rPr>
          <w:rFonts w:ascii="Arial" w:hAnsi="Arial"/>
        </w:rPr>
        <w:t>s</w:t>
      </w:r>
      <w:r w:rsidRPr="00214121">
        <w:rPr>
          <w:rFonts w:ascii="Arial" w:hAnsi="Arial"/>
        </w:rPr>
        <w:t xml:space="preserve">ection 26 at the date of transition. </w:t>
      </w:r>
    </w:p>
    <w:p w14:paraId="43936A0B" w14:textId="77777777" w:rsidR="007A52A3" w:rsidRPr="00214121" w:rsidRDefault="007A52A3" w:rsidP="00214121">
      <w:pPr>
        <w:spacing w:line="360" w:lineRule="auto"/>
        <w:ind w:left="360"/>
        <w:contextualSpacing/>
        <w:rPr>
          <w:rFonts w:ascii="Arial" w:hAnsi="Arial"/>
        </w:rPr>
      </w:pPr>
    </w:p>
    <w:p w14:paraId="0957EE0F" w14:textId="653C9820" w:rsidR="007A52A3" w:rsidRPr="00214121" w:rsidRDefault="007A52A3" w:rsidP="00214121">
      <w:pPr>
        <w:spacing w:line="360" w:lineRule="auto"/>
        <w:ind w:left="360"/>
        <w:contextualSpacing/>
        <w:rPr>
          <w:rFonts w:ascii="Arial" w:hAnsi="Arial"/>
        </w:rPr>
      </w:pPr>
      <w:r w:rsidRPr="00214121">
        <w:rPr>
          <w:rFonts w:ascii="Arial" w:hAnsi="Arial"/>
        </w:rPr>
        <w:t>For a small entity that first adopts FRS 102 for an accounting period starting before 1 January 2017, this exemption is extended to equity instruments that were granted before the start of the first reporting period that complies with FRS 102, provided that the small entity did not previously apply FRS 20 or IFRS 2.</w:t>
      </w:r>
      <w:r>
        <w:rPr>
          <w:rFonts w:ascii="Arial" w:hAnsi="Arial"/>
        </w:rPr>
        <w:t xml:space="preserve"> </w:t>
      </w:r>
      <w:r w:rsidRPr="00214121">
        <w:rPr>
          <w:rFonts w:ascii="Arial" w:hAnsi="Arial"/>
        </w:rPr>
        <w:t>Where a small entity chooses to apply this exemption, it must provide disclosures in accordance with paragraph 1AC.31</w:t>
      </w:r>
      <w:r w:rsidR="004357FA">
        <w:rPr>
          <w:rFonts w:ascii="Arial" w:hAnsi="Arial"/>
        </w:rPr>
        <w:t>,</w:t>
      </w:r>
      <w:r w:rsidRPr="00214121">
        <w:rPr>
          <w:rFonts w:ascii="Arial" w:hAnsi="Arial"/>
        </w:rPr>
        <w:t xml:space="preserve"> which relates to off-balance sheet arrangements. </w:t>
      </w:r>
    </w:p>
    <w:p w14:paraId="0D54628F" w14:textId="77777777" w:rsidR="007A52A3" w:rsidRPr="00214121" w:rsidRDefault="007A52A3" w:rsidP="00214121">
      <w:pPr>
        <w:spacing w:line="360" w:lineRule="auto"/>
        <w:rPr>
          <w:rFonts w:ascii="Arial" w:hAnsi="Arial"/>
        </w:rPr>
      </w:pPr>
    </w:p>
    <w:p w14:paraId="7955C8C2" w14:textId="77777777" w:rsidR="007A52A3" w:rsidRPr="00214121" w:rsidRDefault="007A52A3" w:rsidP="00214121">
      <w:pPr>
        <w:pStyle w:val="Heading3"/>
        <w:keepLines/>
        <w:numPr>
          <w:ilvl w:val="0"/>
          <w:numId w:val="22"/>
        </w:numPr>
        <w:spacing w:before="40" w:after="0" w:line="360" w:lineRule="auto"/>
        <w:jc w:val="both"/>
        <w:rPr>
          <w:sz w:val="24"/>
          <w:szCs w:val="24"/>
        </w:rPr>
      </w:pPr>
      <w:r w:rsidRPr="00214121">
        <w:rPr>
          <w:sz w:val="24"/>
          <w:szCs w:val="24"/>
        </w:rPr>
        <w:t>Fair value as deemed cost</w:t>
      </w:r>
    </w:p>
    <w:p w14:paraId="6B03BF3F" w14:textId="689F5E14" w:rsidR="007A52A3" w:rsidRPr="00214121" w:rsidRDefault="007A52A3" w:rsidP="00214121">
      <w:pPr>
        <w:spacing w:line="360" w:lineRule="auto"/>
        <w:ind w:left="360"/>
        <w:rPr>
          <w:rFonts w:ascii="Arial" w:hAnsi="Arial"/>
        </w:rPr>
      </w:pPr>
      <w:r w:rsidRPr="00214121">
        <w:rPr>
          <w:rFonts w:ascii="Arial" w:hAnsi="Arial"/>
        </w:rPr>
        <w:t>For items of property, plant and equipment (</w:t>
      </w:r>
      <w:r w:rsidR="00B43358">
        <w:rPr>
          <w:rFonts w:ascii="Arial" w:hAnsi="Arial"/>
        </w:rPr>
        <w:t>s</w:t>
      </w:r>
      <w:r w:rsidRPr="00214121">
        <w:rPr>
          <w:rFonts w:ascii="Arial" w:hAnsi="Arial"/>
        </w:rPr>
        <w:t>ection 17</w:t>
      </w:r>
      <w:r w:rsidR="002769D6">
        <w:rPr>
          <w:rFonts w:ascii="Arial" w:hAnsi="Arial"/>
        </w:rPr>
        <w:t>,</w:t>
      </w:r>
      <w:r w:rsidRPr="00214121">
        <w:rPr>
          <w:rFonts w:ascii="Arial" w:hAnsi="Arial"/>
        </w:rPr>
        <w:t xml:space="preserve"> </w:t>
      </w:r>
      <w:r w:rsidR="002769D6" w:rsidRPr="002769D6">
        <w:rPr>
          <w:rFonts w:ascii="Arial" w:hAnsi="Arial"/>
        </w:rPr>
        <w:t>‘</w:t>
      </w:r>
      <w:r w:rsidRPr="00214121">
        <w:rPr>
          <w:rFonts w:ascii="Arial" w:hAnsi="Arial"/>
        </w:rPr>
        <w:t>Property, Plant and Equipment</w:t>
      </w:r>
      <w:r w:rsidR="002769D6" w:rsidRPr="00214121">
        <w:rPr>
          <w:rFonts w:ascii="Arial" w:hAnsi="Arial"/>
        </w:rPr>
        <w:t>’</w:t>
      </w:r>
      <w:r w:rsidRPr="00214121">
        <w:rPr>
          <w:rFonts w:ascii="Arial" w:hAnsi="Arial"/>
        </w:rPr>
        <w:t>), investment property (</w:t>
      </w:r>
      <w:r w:rsidR="00B43358">
        <w:rPr>
          <w:rFonts w:ascii="Arial" w:hAnsi="Arial"/>
        </w:rPr>
        <w:t>s</w:t>
      </w:r>
      <w:r w:rsidRPr="00214121">
        <w:rPr>
          <w:rFonts w:ascii="Arial" w:hAnsi="Arial"/>
        </w:rPr>
        <w:t>ection 16</w:t>
      </w:r>
      <w:r w:rsidR="002769D6">
        <w:rPr>
          <w:rFonts w:ascii="Arial" w:hAnsi="Arial"/>
        </w:rPr>
        <w:t>,</w:t>
      </w:r>
      <w:r w:rsidRPr="00214121">
        <w:rPr>
          <w:rFonts w:ascii="Arial" w:hAnsi="Arial"/>
        </w:rPr>
        <w:t xml:space="preserve"> </w:t>
      </w:r>
      <w:r w:rsidR="002769D6">
        <w:rPr>
          <w:rFonts w:ascii="Arial" w:hAnsi="Arial"/>
        </w:rPr>
        <w:t>‘</w:t>
      </w:r>
      <w:r w:rsidRPr="00214121">
        <w:rPr>
          <w:rFonts w:ascii="Arial" w:hAnsi="Arial"/>
        </w:rPr>
        <w:t>Investment Property</w:t>
      </w:r>
      <w:r w:rsidR="002769D6">
        <w:rPr>
          <w:rFonts w:ascii="Arial" w:hAnsi="Arial"/>
        </w:rPr>
        <w:t>’</w:t>
      </w:r>
      <w:r w:rsidRPr="00214121">
        <w:rPr>
          <w:rFonts w:ascii="Arial" w:hAnsi="Arial"/>
        </w:rPr>
        <w:t>) or intangible assets excluding goodwill (</w:t>
      </w:r>
      <w:r w:rsidR="00B43358">
        <w:rPr>
          <w:rFonts w:ascii="Arial" w:hAnsi="Arial"/>
        </w:rPr>
        <w:t>s</w:t>
      </w:r>
      <w:r w:rsidRPr="00214121">
        <w:rPr>
          <w:rFonts w:ascii="Arial" w:hAnsi="Arial"/>
        </w:rPr>
        <w:t>ection 18</w:t>
      </w:r>
      <w:r w:rsidR="002769D6">
        <w:rPr>
          <w:rFonts w:ascii="Arial" w:hAnsi="Arial"/>
        </w:rPr>
        <w:t>,</w:t>
      </w:r>
      <w:r w:rsidRPr="00214121">
        <w:rPr>
          <w:rFonts w:ascii="Arial" w:hAnsi="Arial"/>
        </w:rPr>
        <w:t xml:space="preserve"> </w:t>
      </w:r>
      <w:r w:rsidR="002769D6">
        <w:rPr>
          <w:rFonts w:ascii="Arial" w:hAnsi="Arial"/>
        </w:rPr>
        <w:t>‘</w:t>
      </w:r>
      <w:r w:rsidRPr="00214121">
        <w:rPr>
          <w:rFonts w:ascii="Arial" w:hAnsi="Arial"/>
        </w:rPr>
        <w:t>Intangible Assets other than Goodwill</w:t>
      </w:r>
      <w:r w:rsidR="002769D6">
        <w:rPr>
          <w:rFonts w:ascii="Arial" w:hAnsi="Arial"/>
        </w:rPr>
        <w:t>’</w:t>
      </w:r>
      <w:r w:rsidRPr="00214121">
        <w:rPr>
          <w:rFonts w:ascii="Arial" w:hAnsi="Arial"/>
        </w:rPr>
        <w:t>), a first-time adopter can use fair value as deemed cost on transition to FRS 102.</w:t>
      </w:r>
      <w:r>
        <w:rPr>
          <w:rFonts w:ascii="Arial" w:hAnsi="Arial"/>
        </w:rPr>
        <w:t xml:space="preserve"> </w:t>
      </w:r>
      <w:r w:rsidRPr="00214121">
        <w:rPr>
          <w:rFonts w:ascii="Arial" w:hAnsi="Arial"/>
        </w:rPr>
        <w:t xml:space="preserve">The term ‘deemed cost’ is defined in the </w:t>
      </w:r>
      <w:r w:rsidR="0049360A">
        <w:rPr>
          <w:rFonts w:ascii="Arial" w:hAnsi="Arial"/>
        </w:rPr>
        <w:t>g</w:t>
      </w:r>
      <w:r w:rsidRPr="00214121">
        <w:rPr>
          <w:rFonts w:ascii="Arial" w:hAnsi="Arial"/>
        </w:rPr>
        <w:t>lossary as:</w:t>
      </w:r>
    </w:p>
    <w:p w14:paraId="09CCCEFF" w14:textId="77777777" w:rsidR="007A52A3" w:rsidRPr="00214121" w:rsidRDefault="007A52A3" w:rsidP="00214121">
      <w:pPr>
        <w:spacing w:line="360" w:lineRule="auto"/>
        <w:ind w:left="360"/>
        <w:rPr>
          <w:rFonts w:ascii="Arial" w:hAnsi="Arial"/>
        </w:rPr>
      </w:pPr>
    </w:p>
    <w:p w14:paraId="112DD0E6" w14:textId="7049F387" w:rsidR="007A52A3" w:rsidRPr="00214121" w:rsidRDefault="007A52A3" w:rsidP="00214121">
      <w:pPr>
        <w:spacing w:line="360" w:lineRule="auto"/>
        <w:ind w:left="360"/>
        <w:rPr>
          <w:rFonts w:ascii="Arial" w:hAnsi="Arial"/>
          <w:i/>
        </w:rPr>
      </w:pPr>
      <w:r w:rsidRPr="00214121">
        <w:rPr>
          <w:rFonts w:ascii="Arial" w:hAnsi="Arial"/>
          <w:i/>
        </w:rPr>
        <w:t>‘An amount used as a surrogate for cost or depreciated cost at a given date.</w:t>
      </w:r>
      <w:r>
        <w:rPr>
          <w:rFonts w:ascii="Arial" w:hAnsi="Arial"/>
          <w:i/>
        </w:rPr>
        <w:t xml:space="preserve"> </w:t>
      </w:r>
      <w:r w:rsidRPr="00214121">
        <w:rPr>
          <w:rFonts w:ascii="Arial" w:hAnsi="Arial"/>
          <w:i/>
        </w:rPr>
        <w:t xml:space="preserve">Subsequent </w:t>
      </w:r>
      <w:r w:rsidRPr="00214121">
        <w:rPr>
          <w:rFonts w:ascii="Arial" w:hAnsi="Arial"/>
          <w:b/>
          <w:i/>
        </w:rPr>
        <w:t xml:space="preserve">depreciation </w:t>
      </w:r>
      <w:r w:rsidRPr="00214121">
        <w:rPr>
          <w:rFonts w:ascii="Arial" w:hAnsi="Arial"/>
          <w:i/>
        </w:rPr>
        <w:t xml:space="preserve">or </w:t>
      </w:r>
      <w:r w:rsidRPr="00214121">
        <w:rPr>
          <w:rFonts w:ascii="Arial" w:hAnsi="Arial"/>
          <w:b/>
          <w:i/>
        </w:rPr>
        <w:t xml:space="preserve">amortisation </w:t>
      </w:r>
      <w:r w:rsidRPr="00214121">
        <w:rPr>
          <w:rFonts w:ascii="Arial" w:hAnsi="Arial"/>
          <w:i/>
        </w:rPr>
        <w:t xml:space="preserve">assumes that the entity had initially recognised the </w:t>
      </w:r>
      <w:r w:rsidRPr="00214121">
        <w:rPr>
          <w:rFonts w:ascii="Arial" w:hAnsi="Arial"/>
          <w:b/>
          <w:i/>
        </w:rPr>
        <w:t xml:space="preserve">asset </w:t>
      </w:r>
      <w:r w:rsidRPr="00214121">
        <w:rPr>
          <w:rFonts w:ascii="Arial" w:hAnsi="Arial"/>
          <w:i/>
        </w:rPr>
        <w:t xml:space="preserve">or </w:t>
      </w:r>
      <w:r w:rsidRPr="00214121">
        <w:rPr>
          <w:rFonts w:ascii="Arial" w:hAnsi="Arial"/>
          <w:b/>
          <w:i/>
        </w:rPr>
        <w:t xml:space="preserve">liability </w:t>
      </w:r>
      <w:r w:rsidRPr="00214121">
        <w:rPr>
          <w:rFonts w:ascii="Arial" w:hAnsi="Arial"/>
          <w:i/>
        </w:rPr>
        <w:t>at the given date and that its cost was equal to the deemed cost.’</w:t>
      </w:r>
    </w:p>
    <w:p w14:paraId="25B3CD3D" w14:textId="77777777" w:rsidR="007A52A3" w:rsidRPr="00214121" w:rsidRDefault="007A52A3" w:rsidP="00214121">
      <w:pPr>
        <w:spacing w:line="360" w:lineRule="auto"/>
        <w:ind w:left="360"/>
        <w:rPr>
          <w:rFonts w:ascii="Arial" w:hAnsi="Arial"/>
          <w:i/>
        </w:rPr>
      </w:pPr>
    </w:p>
    <w:p w14:paraId="7DD57426" w14:textId="77777777" w:rsidR="007A52A3" w:rsidRPr="00214121" w:rsidRDefault="007A52A3" w:rsidP="00214121">
      <w:pPr>
        <w:pStyle w:val="Heading3"/>
        <w:keepLines/>
        <w:numPr>
          <w:ilvl w:val="0"/>
          <w:numId w:val="22"/>
        </w:numPr>
        <w:spacing w:before="40" w:after="0" w:line="360" w:lineRule="auto"/>
        <w:jc w:val="both"/>
        <w:rPr>
          <w:sz w:val="24"/>
          <w:szCs w:val="24"/>
        </w:rPr>
      </w:pPr>
      <w:r w:rsidRPr="00214121">
        <w:rPr>
          <w:sz w:val="24"/>
          <w:szCs w:val="24"/>
        </w:rPr>
        <w:t>Revaluation as deemed cost (see example 2 below)</w:t>
      </w:r>
    </w:p>
    <w:p w14:paraId="00D5D197" w14:textId="3221161B" w:rsidR="007A52A3" w:rsidRPr="00214121" w:rsidRDefault="007A52A3" w:rsidP="00214121">
      <w:pPr>
        <w:spacing w:line="360" w:lineRule="auto"/>
        <w:ind w:left="360"/>
        <w:rPr>
          <w:rFonts w:ascii="Arial" w:hAnsi="Arial"/>
        </w:rPr>
      </w:pPr>
      <w:r w:rsidRPr="00214121">
        <w:rPr>
          <w:rFonts w:ascii="Arial" w:hAnsi="Arial"/>
        </w:rPr>
        <w:t>Again, for items of property, plant and equipment, investment property or intangible assets other than goodwill, a first-time adopter can use a revaluation amount as deemed cost.</w:t>
      </w:r>
      <w:r>
        <w:rPr>
          <w:rFonts w:ascii="Arial" w:hAnsi="Arial"/>
        </w:rPr>
        <w:t xml:space="preserve"> </w:t>
      </w:r>
      <w:r w:rsidRPr="00214121">
        <w:rPr>
          <w:rFonts w:ascii="Arial" w:hAnsi="Arial"/>
        </w:rPr>
        <w:t>This may be of particular benefit to a client who wants to stop getting periodic revaluations and move back onto the depreciated historic cost model for its property, plant and equipment.</w:t>
      </w:r>
      <w:r>
        <w:rPr>
          <w:rFonts w:ascii="Arial" w:hAnsi="Arial"/>
        </w:rPr>
        <w:t xml:space="preserve"> </w:t>
      </w:r>
      <w:r w:rsidRPr="00214121">
        <w:rPr>
          <w:rFonts w:ascii="Arial" w:hAnsi="Arial"/>
        </w:rPr>
        <w:t xml:space="preserve">Care must be taken with this exemption because the valuations used as deemed cost should be either at the date of transition or before the date of transition, </w:t>
      </w:r>
      <w:r w:rsidRPr="00214121">
        <w:rPr>
          <w:rFonts w:ascii="Arial" w:hAnsi="Arial"/>
          <w:b/>
        </w:rPr>
        <w:t>but not after</w:t>
      </w:r>
      <w:r w:rsidRPr="00214121">
        <w:rPr>
          <w:rFonts w:ascii="Arial" w:hAnsi="Arial"/>
        </w:rPr>
        <w:t>.</w:t>
      </w:r>
    </w:p>
    <w:p w14:paraId="25D64408" w14:textId="77777777" w:rsidR="007A52A3" w:rsidRPr="00214121" w:rsidRDefault="007A52A3" w:rsidP="00214121">
      <w:pPr>
        <w:spacing w:line="360" w:lineRule="auto"/>
        <w:ind w:left="360"/>
        <w:rPr>
          <w:rFonts w:ascii="Arial" w:hAnsi="Arial"/>
        </w:rPr>
      </w:pPr>
    </w:p>
    <w:p w14:paraId="27FCA6E6" w14:textId="77777777" w:rsidR="007A52A3" w:rsidRPr="00214121" w:rsidRDefault="007A52A3" w:rsidP="00214121">
      <w:pPr>
        <w:pStyle w:val="Heading3"/>
        <w:keepLines/>
        <w:numPr>
          <w:ilvl w:val="0"/>
          <w:numId w:val="22"/>
        </w:numPr>
        <w:spacing w:before="40" w:after="0" w:line="360" w:lineRule="auto"/>
        <w:jc w:val="both"/>
        <w:rPr>
          <w:sz w:val="24"/>
          <w:szCs w:val="24"/>
        </w:rPr>
      </w:pPr>
      <w:r w:rsidRPr="00214121">
        <w:rPr>
          <w:sz w:val="24"/>
          <w:szCs w:val="24"/>
        </w:rPr>
        <w:t>Individual and separate financial statements</w:t>
      </w:r>
    </w:p>
    <w:p w14:paraId="229B892E" w14:textId="231AE486" w:rsidR="007A52A3" w:rsidRPr="00214121" w:rsidRDefault="007A52A3" w:rsidP="00214121">
      <w:pPr>
        <w:spacing w:line="360" w:lineRule="auto"/>
        <w:ind w:left="360"/>
        <w:rPr>
          <w:rFonts w:ascii="Arial" w:hAnsi="Arial"/>
        </w:rPr>
      </w:pPr>
      <w:r w:rsidRPr="00214121">
        <w:rPr>
          <w:rFonts w:ascii="Arial" w:hAnsi="Arial"/>
        </w:rPr>
        <w:t>Paragraphs 9.26, 14.4 and 15.9 of FRS 102 require an entity to account for investments in subsidiaries, associates and jointly controlled entities at either cost less impairment or at fair value in the individual or separate financial statements.</w:t>
      </w:r>
      <w:r>
        <w:rPr>
          <w:rFonts w:ascii="Arial" w:hAnsi="Arial"/>
        </w:rPr>
        <w:t xml:space="preserve"> </w:t>
      </w:r>
      <w:r w:rsidRPr="00214121">
        <w:rPr>
          <w:rFonts w:ascii="Arial" w:hAnsi="Arial"/>
        </w:rPr>
        <w:t>Where cost is used, the first-time adopter must use one of the following amounts in the individual/separate opening balance sheet:</w:t>
      </w:r>
    </w:p>
    <w:p w14:paraId="43EA6DB5" w14:textId="77777777" w:rsidR="007A52A3" w:rsidRPr="00214121" w:rsidRDefault="007A52A3" w:rsidP="00214121">
      <w:pPr>
        <w:spacing w:line="360" w:lineRule="auto"/>
        <w:ind w:left="360"/>
        <w:rPr>
          <w:rFonts w:ascii="Arial" w:hAnsi="Arial"/>
        </w:rPr>
      </w:pPr>
    </w:p>
    <w:p w14:paraId="137F9F99" w14:textId="17530A11" w:rsidR="007A52A3" w:rsidRPr="00214121" w:rsidRDefault="007A52A3" w:rsidP="00214121">
      <w:pPr>
        <w:pStyle w:val="ListParagraph"/>
        <w:numPr>
          <w:ilvl w:val="1"/>
          <w:numId w:val="22"/>
        </w:numPr>
        <w:spacing w:line="360" w:lineRule="auto"/>
        <w:rPr>
          <w:rFonts w:ascii="Arial" w:hAnsi="Arial"/>
          <w:sz w:val="24"/>
        </w:rPr>
      </w:pPr>
      <w:r w:rsidRPr="00214121">
        <w:rPr>
          <w:rFonts w:ascii="Arial" w:hAnsi="Arial"/>
          <w:sz w:val="24"/>
        </w:rPr>
        <w:t xml:space="preserve">cost per </w:t>
      </w:r>
      <w:r w:rsidR="009F50BB">
        <w:rPr>
          <w:rFonts w:ascii="Arial" w:hAnsi="Arial"/>
          <w:sz w:val="24"/>
        </w:rPr>
        <w:t>s</w:t>
      </w:r>
      <w:r w:rsidRPr="00214121">
        <w:rPr>
          <w:rFonts w:ascii="Arial" w:hAnsi="Arial"/>
          <w:sz w:val="24"/>
        </w:rPr>
        <w:t>ection 9</w:t>
      </w:r>
      <w:r w:rsidR="0051686E">
        <w:rPr>
          <w:rFonts w:ascii="Arial" w:hAnsi="Arial"/>
          <w:sz w:val="24"/>
        </w:rPr>
        <w:t>,</w:t>
      </w:r>
      <w:r w:rsidRPr="00214121">
        <w:rPr>
          <w:rFonts w:ascii="Arial" w:hAnsi="Arial"/>
          <w:sz w:val="24"/>
        </w:rPr>
        <w:t xml:space="preserve"> </w:t>
      </w:r>
      <w:r w:rsidR="00562FA9">
        <w:rPr>
          <w:rFonts w:ascii="Arial" w:hAnsi="Arial"/>
          <w:sz w:val="24"/>
        </w:rPr>
        <w:t>‘</w:t>
      </w:r>
      <w:r w:rsidRPr="00214121">
        <w:rPr>
          <w:rFonts w:ascii="Arial" w:hAnsi="Arial"/>
          <w:sz w:val="24"/>
        </w:rPr>
        <w:t>Consolidated and Separate Financial Statements</w:t>
      </w:r>
      <w:r w:rsidR="00562FA9">
        <w:rPr>
          <w:rFonts w:ascii="Arial" w:hAnsi="Arial"/>
          <w:sz w:val="24"/>
        </w:rPr>
        <w:t>’</w:t>
      </w:r>
      <w:r w:rsidRPr="00214121">
        <w:rPr>
          <w:rFonts w:ascii="Arial" w:hAnsi="Arial"/>
          <w:sz w:val="24"/>
        </w:rPr>
        <w:t xml:space="preserve">, </w:t>
      </w:r>
      <w:r w:rsidR="009F50BB">
        <w:rPr>
          <w:rFonts w:ascii="Arial" w:hAnsi="Arial"/>
          <w:sz w:val="24"/>
        </w:rPr>
        <w:t>s</w:t>
      </w:r>
      <w:r w:rsidRPr="00214121">
        <w:rPr>
          <w:rFonts w:ascii="Arial" w:hAnsi="Arial"/>
          <w:sz w:val="24"/>
        </w:rPr>
        <w:t>ection 14</w:t>
      </w:r>
      <w:r w:rsidR="00562FA9">
        <w:rPr>
          <w:rFonts w:ascii="Arial" w:hAnsi="Arial"/>
          <w:sz w:val="24"/>
        </w:rPr>
        <w:t>,</w:t>
      </w:r>
      <w:r w:rsidRPr="00214121">
        <w:rPr>
          <w:rFonts w:ascii="Arial" w:hAnsi="Arial"/>
          <w:sz w:val="24"/>
        </w:rPr>
        <w:t xml:space="preserve"> </w:t>
      </w:r>
      <w:r w:rsidR="00562FA9">
        <w:rPr>
          <w:rFonts w:ascii="Arial" w:hAnsi="Arial"/>
          <w:sz w:val="24"/>
        </w:rPr>
        <w:t>‘</w:t>
      </w:r>
      <w:r w:rsidRPr="00214121">
        <w:rPr>
          <w:rFonts w:ascii="Arial" w:hAnsi="Arial"/>
          <w:sz w:val="24"/>
        </w:rPr>
        <w:t>Investments in Associates</w:t>
      </w:r>
      <w:r w:rsidR="00562FA9">
        <w:rPr>
          <w:rFonts w:ascii="Arial" w:hAnsi="Arial"/>
          <w:sz w:val="24"/>
        </w:rPr>
        <w:t>’</w:t>
      </w:r>
      <w:r w:rsidRPr="00214121">
        <w:rPr>
          <w:rFonts w:ascii="Arial" w:hAnsi="Arial"/>
          <w:sz w:val="24"/>
        </w:rPr>
        <w:t xml:space="preserve"> or </w:t>
      </w:r>
      <w:r w:rsidR="009F50BB">
        <w:rPr>
          <w:rFonts w:ascii="Arial" w:hAnsi="Arial"/>
          <w:sz w:val="24"/>
        </w:rPr>
        <w:t>s</w:t>
      </w:r>
      <w:r w:rsidRPr="00214121">
        <w:rPr>
          <w:rFonts w:ascii="Arial" w:hAnsi="Arial"/>
          <w:sz w:val="24"/>
        </w:rPr>
        <w:t>ection 15</w:t>
      </w:r>
      <w:r w:rsidR="00562FA9">
        <w:rPr>
          <w:rFonts w:ascii="Arial" w:hAnsi="Arial"/>
          <w:sz w:val="24"/>
        </w:rPr>
        <w:t>,</w:t>
      </w:r>
      <w:r w:rsidRPr="00214121">
        <w:rPr>
          <w:rFonts w:ascii="Arial" w:hAnsi="Arial"/>
          <w:sz w:val="24"/>
        </w:rPr>
        <w:t xml:space="preserve"> </w:t>
      </w:r>
      <w:r w:rsidR="00562FA9">
        <w:rPr>
          <w:rFonts w:ascii="Arial" w:hAnsi="Arial"/>
          <w:sz w:val="24"/>
        </w:rPr>
        <w:t>‘</w:t>
      </w:r>
      <w:r w:rsidRPr="00214121">
        <w:rPr>
          <w:rFonts w:ascii="Arial" w:hAnsi="Arial"/>
          <w:sz w:val="24"/>
        </w:rPr>
        <w:t>Investments in Joint Ventures</w:t>
      </w:r>
      <w:r w:rsidR="00562FA9">
        <w:rPr>
          <w:rFonts w:ascii="Arial" w:hAnsi="Arial"/>
          <w:sz w:val="24"/>
        </w:rPr>
        <w:t>’, or</w:t>
      </w:r>
    </w:p>
    <w:p w14:paraId="221A5C7E" w14:textId="77777777" w:rsidR="007A52A3" w:rsidRPr="00214121" w:rsidRDefault="007A52A3" w:rsidP="00214121">
      <w:pPr>
        <w:pStyle w:val="ListParagraph"/>
        <w:numPr>
          <w:ilvl w:val="1"/>
          <w:numId w:val="22"/>
        </w:numPr>
        <w:spacing w:line="360" w:lineRule="auto"/>
        <w:rPr>
          <w:rFonts w:ascii="Arial" w:hAnsi="Arial"/>
          <w:sz w:val="24"/>
        </w:rPr>
      </w:pPr>
      <w:r w:rsidRPr="00214121">
        <w:rPr>
          <w:rFonts w:ascii="Arial" w:hAnsi="Arial"/>
          <w:sz w:val="24"/>
        </w:rPr>
        <w:t>deemed cost – in this respect the deemed cost is the carrying amount at the date of transition which has been determined under previous UK GAAP.</w:t>
      </w:r>
    </w:p>
    <w:p w14:paraId="685B122E" w14:textId="77777777" w:rsidR="007A52A3" w:rsidRPr="00214121" w:rsidRDefault="007A52A3" w:rsidP="00214121">
      <w:pPr>
        <w:pStyle w:val="ListParagraph"/>
        <w:spacing w:line="360" w:lineRule="auto"/>
        <w:ind w:left="1080"/>
        <w:rPr>
          <w:rFonts w:ascii="Arial" w:hAnsi="Arial"/>
          <w:sz w:val="24"/>
        </w:rPr>
      </w:pPr>
    </w:p>
    <w:p w14:paraId="08D568B3" w14:textId="77777777" w:rsidR="007A52A3" w:rsidRPr="00214121" w:rsidRDefault="007A52A3" w:rsidP="00214121">
      <w:pPr>
        <w:pStyle w:val="Heading3"/>
        <w:keepLines/>
        <w:numPr>
          <w:ilvl w:val="0"/>
          <w:numId w:val="22"/>
        </w:numPr>
        <w:spacing w:before="40" w:after="0" w:line="360" w:lineRule="auto"/>
        <w:jc w:val="both"/>
        <w:rPr>
          <w:sz w:val="24"/>
          <w:szCs w:val="24"/>
        </w:rPr>
      </w:pPr>
      <w:r w:rsidRPr="00214121">
        <w:rPr>
          <w:sz w:val="24"/>
          <w:szCs w:val="24"/>
        </w:rPr>
        <w:lastRenderedPageBreak/>
        <w:t>Compound financial instruments</w:t>
      </w:r>
    </w:p>
    <w:p w14:paraId="7E1E4369" w14:textId="290F1E09" w:rsidR="007A52A3" w:rsidRPr="00214121" w:rsidRDefault="007F179F" w:rsidP="00214121">
      <w:pPr>
        <w:spacing w:line="360" w:lineRule="auto"/>
        <w:ind w:left="360"/>
        <w:rPr>
          <w:rFonts w:ascii="Arial" w:hAnsi="Arial"/>
        </w:rPr>
      </w:pPr>
      <w:r>
        <w:rPr>
          <w:rFonts w:ascii="Arial" w:hAnsi="Arial"/>
        </w:rPr>
        <w:t>‘S</w:t>
      </w:r>
      <w:r w:rsidR="007A52A3" w:rsidRPr="00214121">
        <w:rPr>
          <w:rFonts w:ascii="Arial" w:hAnsi="Arial"/>
        </w:rPr>
        <w:t>plit accounting’ is used for compound financial instruments (where the debt and equity components of the instruments are accounted for separately).</w:t>
      </w:r>
      <w:r w:rsidR="007A52A3">
        <w:rPr>
          <w:rFonts w:ascii="Arial" w:hAnsi="Arial"/>
        </w:rPr>
        <w:t xml:space="preserve"> </w:t>
      </w:r>
      <w:r w:rsidR="007A52A3" w:rsidRPr="00214121">
        <w:rPr>
          <w:rFonts w:ascii="Arial" w:hAnsi="Arial"/>
        </w:rPr>
        <w:t>A first-time adopter does not have to use split accounting if the liability portion of the instrument has been settled at the date of transition.</w:t>
      </w:r>
    </w:p>
    <w:p w14:paraId="6A0D0FAC" w14:textId="77777777" w:rsidR="007A52A3" w:rsidRPr="00214121" w:rsidRDefault="007A52A3" w:rsidP="00214121">
      <w:pPr>
        <w:spacing w:line="360" w:lineRule="auto"/>
        <w:rPr>
          <w:rFonts w:ascii="Arial" w:hAnsi="Arial"/>
        </w:rPr>
      </w:pPr>
    </w:p>
    <w:p w14:paraId="121F357E" w14:textId="77777777" w:rsidR="007A52A3" w:rsidRPr="00214121" w:rsidRDefault="007A52A3" w:rsidP="00214121">
      <w:pPr>
        <w:pStyle w:val="Heading3"/>
        <w:keepLines/>
        <w:numPr>
          <w:ilvl w:val="0"/>
          <w:numId w:val="23"/>
        </w:numPr>
        <w:spacing w:before="40" w:after="0" w:line="360" w:lineRule="auto"/>
        <w:jc w:val="both"/>
        <w:rPr>
          <w:sz w:val="24"/>
          <w:szCs w:val="24"/>
        </w:rPr>
      </w:pPr>
      <w:r w:rsidRPr="00214121">
        <w:rPr>
          <w:sz w:val="24"/>
          <w:szCs w:val="24"/>
        </w:rPr>
        <w:t>Service concession arrangements</w:t>
      </w:r>
    </w:p>
    <w:p w14:paraId="5253EDDA" w14:textId="690F60FF" w:rsidR="007A52A3" w:rsidRPr="00214121" w:rsidRDefault="007A52A3" w:rsidP="00214121">
      <w:pPr>
        <w:spacing w:line="360" w:lineRule="auto"/>
        <w:ind w:left="360"/>
        <w:rPr>
          <w:rFonts w:ascii="Arial" w:hAnsi="Arial"/>
        </w:rPr>
      </w:pPr>
      <w:r w:rsidRPr="00214121">
        <w:rPr>
          <w:rFonts w:ascii="Arial" w:hAnsi="Arial"/>
        </w:rPr>
        <w:t xml:space="preserve">A service concession arrangement is defined in the </w:t>
      </w:r>
      <w:r w:rsidR="002015CA">
        <w:rPr>
          <w:rFonts w:ascii="Arial" w:hAnsi="Arial"/>
        </w:rPr>
        <w:t>g</w:t>
      </w:r>
      <w:r w:rsidRPr="00214121">
        <w:rPr>
          <w:rFonts w:ascii="Arial" w:hAnsi="Arial"/>
        </w:rPr>
        <w:t>lossary as:</w:t>
      </w:r>
    </w:p>
    <w:p w14:paraId="78D89E2E" w14:textId="77777777" w:rsidR="007A52A3" w:rsidRPr="00214121" w:rsidRDefault="007A52A3" w:rsidP="00214121">
      <w:pPr>
        <w:spacing w:line="360" w:lineRule="auto"/>
        <w:ind w:left="360"/>
        <w:rPr>
          <w:rFonts w:ascii="Arial" w:hAnsi="Arial"/>
        </w:rPr>
      </w:pPr>
    </w:p>
    <w:p w14:paraId="293950AF" w14:textId="77777777" w:rsidR="007A52A3" w:rsidRPr="00214121" w:rsidRDefault="007A52A3" w:rsidP="00214121">
      <w:pPr>
        <w:spacing w:line="360" w:lineRule="auto"/>
        <w:ind w:left="360"/>
        <w:rPr>
          <w:rFonts w:ascii="Arial" w:hAnsi="Arial"/>
          <w:i/>
        </w:rPr>
      </w:pPr>
      <w:r w:rsidRPr="00214121">
        <w:rPr>
          <w:rFonts w:ascii="Arial" w:hAnsi="Arial"/>
          <w:i/>
        </w:rPr>
        <w:t xml:space="preserve">‘An arrangement whereby a public sector body or a </w:t>
      </w:r>
      <w:r w:rsidRPr="00214121">
        <w:rPr>
          <w:rFonts w:ascii="Arial" w:hAnsi="Arial"/>
          <w:b/>
          <w:i/>
        </w:rPr>
        <w:t xml:space="preserve">public benefit entity </w:t>
      </w:r>
      <w:r w:rsidRPr="00214121">
        <w:rPr>
          <w:rFonts w:ascii="Arial" w:hAnsi="Arial"/>
          <w:i/>
        </w:rPr>
        <w:t xml:space="preserve">(the grantor) contracts with a private sector entity (the operator) to construct (or upgrade), operate and maintain </w:t>
      </w:r>
      <w:r w:rsidRPr="00214121">
        <w:rPr>
          <w:rFonts w:ascii="Arial" w:hAnsi="Arial"/>
          <w:b/>
          <w:i/>
        </w:rPr>
        <w:t xml:space="preserve">infrastructure assets </w:t>
      </w:r>
      <w:r w:rsidRPr="00214121">
        <w:rPr>
          <w:rFonts w:ascii="Arial" w:hAnsi="Arial"/>
          <w:i/>
        </w:rPr>
        <w:t>for a specified period of time (the concession period).’</w:t>
      </w:r>
    </w:p>
    <w:p w14:paraId="16D91AB9" w14:textId="77777777" w:rsidR="007A52A3" w:rsidRPr="00214121" w:rsidRDefault="007A52A3" w:rsidP="00214121">
      <w:pPr>
        <w:spacing w:line="360" w:lineRule="auto"/>
        <w:ind w:left="360"/>
        <w:rPr>
          <w:rFonts w:ascii="Arial" w:hAnsi="Arial"/>
          <w:i/>
        </w:rPr>
      </w:pPr>
    </w:p>
    <w:p w14:paraId="21E2FA2F" w14:textId="77777777" w:rsidR="007A52A3" w:rsidRPr="00214121" w:rsidRDefault="007A52A3" w:rsidP="00214121">
      <w:pPr>
        <w:spacing w:line="360" w:lineRule="auto"/>
        <w:ind w:left="360"/>
        <w:rPr>
          <w:rFonts w:ascii="Arial" w:hAnsi="Arial"/>
        </w:rPr>
      </w:pPr>
      <w:r w:rsidRPr="00214121">
        <w:rPr>
          <w:rFonts w:ascii="Arial" w:hAnsi="Arial"/>
        </w:rPr>
        <w:t>For such arrangements, a first-time adopter does not have to apply the provisions in paragraphs 34.12I to 34.16A for service concession arrangements entered into prior to the date of transition as these arrangements will continue to be accounted for using the same accounting policies applied at the date of transition.</w:t>
      </w:r>
    </w:p>
    <w:p w14:paraId="1BA4A1C9" w14:textId="77777777" w:rsidR="007A52A3" w:rsidRPr="00214121" w:rsidRDefault="007A52A3" w:rsidP="00214121">
      <w:pPr>
        <w:spacing w:line="360" w:lineRule="auto"/>
        <w:ind w:left="360"/>
        <w:rPr>
          <w:rFonts w:ascii="Arial" w:hAnsi="Arial"/>
        </w:rPr>
      </w:pPr>
    </w:p>
    <w:p w14:paraId="15DF6527" w14:textId="77777777" w:rsidR="007A52A3" w:rsidRPr="00214121" w:rsidRDefault="007A52A3" w:rsidP="00214121">
      <w:pPr>
        <w:pStyle w:val="Heading3"/>
        <w:keepLines/>
        <w:numPr>
          <w:ilvl w:val="0"/>
          <w:numId w:val="23"/>
        </w:numPr>
        <w:spacing w:before="40" w:after="0" w:line="360" w:lineRule="auto"/>
        <w:jc w:val="both"/>
        <w:rPr>
          <w:sz w:val="24"/>
          <w:szCs w:val="24"/>
        </w:rPr>
      </w:pPr>
      <w:r w:rsidRPr="00214121">
        <w:rPr>
          <w:sz w:val="24"/>
          <w:szCs w:val="24"/>
        </w:rPr>
        <w:t>Extractive industries</w:t>
      </w:r>
    </w:p>
    <w:p w14:paraId="3638476F" w14:textId="2BCD4A2D" w:rsidR="007A52A3" w:rsidRPr="00214121" w:rsidRDefault="007A52A3" w:rsidP="00214121">
      <w:pPr>
        <w:spacing w:line="360" w:lineRule="auto"/>
        <w:ind w:left="360"/>
        <w:rPr>
          <w:rFonts w:ascii="Arial" w:hAnsi="Arial"/>
        </w:rPr>
      </w:pPr>
      <w:r w:rsidRPr="00214121">
        <w:rPr>
          <w:rFonts w:ascii="Arial" w:hAnsi="Arial"/>
        </w:rPr>
        <w:t xml:space="preserve">Where a first-time adopter has previously accounted for exploration and development costs for oil and gas properties </w:t>
      </w:r>
      <w:r w:rsidR="00D9794A">
        <w:rPr>
          <w:rFonts w:ascii="Arial" w:hAnsi="Arial"/>
        </w:rPr>
        <w:t>that</w:t>
      </w:r>
      <w:r w:rsidRPr="00214121">
        <w:rPr>
          <w:rFonts w:ascii="Arial" w:hAnsi="Arial"/>
        </w:rPr>
        <w:t xml:space="preserve"> are in the development/production phase in cost centres that included all properties in a large geographical area, it can choose to measure oil and gas assets at the date of transition on the following basis:</w:t>
      </w:r>
    </w:p>
    <w:p w14:paraId="281944FE" w14:textId="77777777" w:rsidR="007A52A3" w:rsidRPr="00214121" w:rsidRDefault="007A52A3" w:rsidP="00214121">
      <w:pPr>
        <w:spacing w:line="360" w:lineRule="auto"/>
        <w:ind w:left="360"/>
        <w:rPr>
          <w:rFonts w:ascii="Arial" w:hAnsi="Arial"/>
        </w:rPr>
      </w:pPr>
    </w:p>
    <w:p w14:paraId="6C788BAD" w14:textId="4D59C4A8" w:rsidR="007A52A3" w:rsidRPr="00214121" w:rsidRDefault="007A52A3" w:rsidP="00214121">
      <w:pPr>
        <w:pStyle w:val="ListParagraph"/>
        <w:numPr>
          <w:ilvl w:val="1"/>
          <w:numId w:val="23"/>
        </w:numPr>
        <w:spacing w:line="360" w:lineRule="auto"/>
        <w:rPr>
          <w:rFonts w:ascii="Arial" w:hAnsi="Arial"/>
          <w:sz w:val="24"/>
        </w:rPr>
      </w:pPr>
      <w:r w:rsidRPr="00214121">
        <w:rPr>
          <w:rFonts w:ascii="Arial" w:hAnsi="Arial"/>
          <w:sz w:val="24"/>
        </w:rPr>
        <w:t>exploration and evaluation assets at the amount determined under previous UK GAAP</w:t>
      </w:r>
    </w:p>
    <w:p w14:paraId="67937005" w14:textId="0B134AB7" w:rsidR="007A52A3" w:rsidRPr="00214121" w:rsidRDefault="007A52A3" w:rsidP="00214121">
      <w:pPr>
        <w:pStyle w:val="ListParagraph"/>
        <w:numPr>
          <w:ilvl w:val="1"/>
          <w:numId w:val="23"/>
        </w:numPr>
        <w:spacing w:line="360" w:lineRule="auto"/>
        <w:rPr>
          <w:rFonts w:ascii="Arial" w:hAnsi="Arial"/>
          <w:sz w:val="24"/>
        </w:rPr>
      </w:pPr>
      <w:r w:rsidRPr="00214121">
        <w:rPr>
          <w:rFonts w:ascii="Arial" w:hAnsi="Arial"/>
          <w:sz w:val="24"/>
        </w:rPr>
        <w:t>assets in the development/production phase at the amount determined for the cost centre under previous UK GAAP</w:t>
      </w:r>
      <w:r w:rsidR="00853A1E">
        <w:rPr>
          <w:rFonts w:ascii="Arial" w:hAnsi="Arial"/>
          <w:sz w:val="24"/>
        </w:rPr>
        <w:t>.</w:t>
      </w:r>
      <w:r w:rsidRPr="00214121">
        <w:rPr>
          <w:rFonts w:ascii="Arial" w:hAnsi="Arial"/>
          <w:sz w:val="24"/>
        </w:rPr>
        <w:t xml:space="preserve"> (</w:t>
      </w:r>
      <w:r w:rsidR="00853A1E">
        <w:rPr>
          <w:rFonts w:ascii="Arial" w:hAnsi="Arial"/>
          <w:sz w:val="24"/>
        </w:rPr>
        <w:t>T</w:t>
      </w:r>
      <w:r w:rsidRPr="00214121">
        <w:rPr>
          <w:rFonts w:ascii="Arial" w:hAnsi="Arial"/>
          <w:sz w:val="24"/>
        </w:rPr>
        <w:t>his amount will be allocated to the cost centre’s underlying assets on a pro-rata basis using reserve volumes or values at the date of transition</w:t>
      </w:r>
      <w:r w:rsidR="00853A1E">
        <w:rPr>
          <w:rFonts w:ascii="Arial" w:hAnsi="Arial"/>
          <w:sz w:val="24"/>
        </w:rPr>
        <w:t>.</w:t>
      </w:r>
      <w:r w:rsidRPr="00214121">
        <w:rPr>
          <w:rFonts w:ascii="Arial" w:hAnsi="Arial"/>
          <w:sz w:val="24"/>
        </w:rPr>
        <w:t>)</w:t>
      </w:r>
    </w:p>
    <w:p w14:paraId="1E3D598B" w14:textId="77777777" w:rsidR="007A52A3" w:rsidRPr="00214121" w:rsidRDefault="007A52A3" w:rsidP="00214121">
      <w:pPr>
        <w:pStyle w:val="ListParagraph"/>
        <w:spacing w:line="360" w:lineRule="auto"/>
        <w:ind w:left="360"/>
        <w:rPr>
          <w:rFonts w:ascii="Arial" w:hAnsi="Arial"/>
          <w:sz w:val="24"/>
        </w:rPr>
      </w:pPr>
    </w:p>
    <w:p w14:paraId="32A0E84A" w14:textId="0C58589A" w:rsidR="007A52A3" w:rsidRPr="00214121" w:rsidRDefault="007A52A3" w:rsidP="00214121">
      <w:pPr>
        <w:pStyle w:val="ListParagraph"/>
        <w:spacing w:line="360" w:lineRule="auto"/>
        <w:ind w:left="360"/>
        <w:rPr>
          <w:rFonts w:ascii="Arial" w:hAnsi="Arial"/>
          <w:sz w:val="24"/>
        </w:rPr>
      </w:pPr>
      <w:r w:rsidRPr="00214121">
        <w:rPr>
          <w:rFonts w:ascii="Arial" w:hAnsi="Arial"/>
          <w:sz w:val="24"/>
        </w:rPr>
        <w:t xml:space="preserve">First-time adopters must test exploration and evaluation assets in the development and production phases for impairment at the date of transition in accordance with either </w:t>
      </w:r>
      <w:r w:rsidR="009F50BB">
        <w:rPr>
          <w:rFonts w:ascii="Arial" w:hAnsi="Arial"/>
          <w:sz w:val="24"/>
        </w:rPr>
        <w:t>s</w:t>
      </w:r>
      <w:r w:rsidRPr="00214121">
        <w:rPr>
          <w:rFonts w:ascii="Arial" w:hAnsi="Arial"/>
          <w:sz w:val="24"/>
        </w:rPr>
        <w:t>ection 34</w:t>
      </w:r>
      <w:r w:rsidR="00D11DD4" w:rsidRPr="00D11DD4">
        <w:rPr>
          <w:rFonts w:ascii="Arial" w:hAnsi="Arial"/>
          <w:sz w:val="24"/>
        </w:rPr>
        <w:t>,</w:t>
      </w:r>
      <w:r w:rsidRPr="00214121">
        <w:rPr>
          <w:rFonts w:ascii="Arial" w:hAnsi="Arial"/>
          <w:sz w:val="24"/>
        </w:rPr>
        <w:t xml:space="preserve"> </w:t>
      </w:r>
      <w:r w:rsidR="00D11DD4" w:rsidRPr="00D11DD4">
        <w:rPr>
          <w:rFonts w:ascii="Arial" w:hAnsi="Arial"/>
          <w:sz w:val="24"/>
        </w:rPr>
        <w:t>‘</w:t>
      </w:r>
      <w:r w:rsidRPr="00214121">
        <w:rPr>
          <w:rFonts w:ascii="Arial" w:hAnsi="Arial"/>
          <w:sz w:val="24"/>
        </w:rPr>
        <w:t>Specialised Activities</w:t>
      </w:r>
      <w:r w:rsidR="00D11DD4" w:rsidRPr="00214121">
        <w:rPr>
          <w:rFonts w:ascii="Arial" w:hAnsi="Arial"/>
          <w:sz w:val="24"/>
        </w:rPr>
        <w:t>’</w:t>
      </w:r>
      <w:r w:rsidRPr="00214121">
        <w:rPr>
          <w:rFonts w:ascii="Arial" w:hAnsi="Arial"/>
          <w:sz w:val="24"/>
        </w:rPr>
        <w:t xml:space="preserve"> or </w:t>
      </w:r>
      <w:r w:rsidR="009F50BB">
        <w:rPr>
          <w:rFonts w:ascii="Arial" w:hAnsi="Arial"/>
          <w:sz w:val="24"/>
        </w:rPr>
        <w:t>s</w:t>
      </w:r>
      <w:r w:rsidRPr="00214121">
        <w:rPr>
          <w:rFonts w:ascii="Arial" w:hAnsi="Arial"/>
          <w:sz w:val="24"/>
        </w:rPr>
        <w:t>ection 27</w:t>
      </w:r>
      <w:r w:rsidR="00D11DD4" w:rsidRPr="00D11DD4">
        <w:rPr>
          <w:rFonts w:ascii="Arial" w:hAnsi="Arial"/>
          <w:sz w:val="24"/>
        </w:rPr>
        <w:t>,</w:t>
      </w:r>
      <w:r w:rsidRPr="00214121">
        <w:rPr>
          <w:rFonts w:ascii="Arial" w:hAnsi="Arial"/>
          <w:sz w:val="24"/>
        </w:rPr>
        <w:t xml:space="preserve"> </w:t>
      </w:r>
      <w:r w:rsidR="00D11DD4" w:rsidRPr="00D11DD4">
        <w:rPr>
          <w:rFonts w:ascii="Arial" w:hAnsi="Arial"/>
          <w:sz w:val="24"/>
        </w:rPr>
        <w:t>‘</w:t>
      </w:r>
      <w:r w:rsidRPr="00214121">
        <w:rPr>
          <w:rFonts w:ascii="Arial" w:hAnsi="Arial"/>
          <w:sz w:val="24"/>
        </w:rPr>
        <w:t>Impairment of Assets</w:t>
      </w:r>
      <w:r w:rsidR="00D11DD4" w:rsidRPr="00214121">
        <w:rPr>
          <w:rFonts w:ascii="Arial" w:hAnsi="Arial"/>
          <w:sz w:val="24"/>
        </w:rPr>
        <w:t>’</w:t>
      </w:r>
      <w:r w:rsidRPr="00214121">
        <w:rPr>
          <w:rFonts w:ascii="Arial" w:hAnsi="Arial"/>
          <w:sz w:val="24"/>
        </w:rPr>
        <w:t>.</w:t>
      </w:r>
    </w:p>
    <w:p w14:paraId="61FC1A99" w14:textId="77777777" w:rsidR="007A52A3" w:rsidRPr="00214121" w:rsidRDefault="007A52A3" w:rsidP="00214121">
      <w:pPr>
        <w:pStyle w:val="ListParagraph"/>
        <w:spacing w:line="360" w:lineRule="auto"/>
        <w:ind w:left="360"/>
        <w:rPr>
          <w:rFonts w:ascii="Arial" w:hAnsi="Arial"/>
          <w:sz w:val="24"/>
        </w:rPr>
      </w:pPr>
    </w:p>
    <w:p w14:paraId="1F9556DF" w14:textId="77777777" w:rsidR="007A52A3" w:rsidRPr="00214121" w:rsidRDefault="007A52A3" w:rsidP="00214121">
      <w:pPr>
        <w:pStyle w:val="Heading3"/>
        <w:keepLines/>
        <w:numPr>
          <w:ilvl w:val="0"/>
          <w:numId w:val="24"/>
        </w:numPr>
        <w:spacing w:before="40" w:after="0" w:line="360" w:lineRule="auto"/>
        <w:jc w:val="both"/>
        <w:rPr>
          <w:sz w:val="24"/>
          <w:szCs w:val="24"/>
        </w:rPr>
      </w:pPr>
      <w:r w:rsidRPr="00214121">
        <w:rPr>
          <w:sz w:val="24"/>
          <w:szCs w:val="24"/>
        </w:rPr>
        <w:lastRenderedPageBreak/>
        <w:t>Arrangements containing a lease</w:t>
      </w:r>
    </w:p>
    <w:p w14:paraId="3F326315" w14:textId="77777777" w:rsidR="007A52A3" w:rsidRPr="00214121" w:rsidRDefault="007A52A3" w:rsidP="00214121">
      <w:pPr>
        <w:spacing w:line="360" w:lineRule="auto"/>
        <w:ind w:left="360"/>
        <w:rPr>
          <w:rFonts w:ascii="Arial" w:hAnsi="Arial"/>
        </w:rPr>
      </w:pPr>
      <w:r w:rsidRPr="00214121">
        <w:rPr>
          <w:rFonts w:ascii="Arial" w:hAnsi="Arial"/>
        </w:rPr>
        <w:t>First-time adopters can choose to determine whether an arrangement that exists at the date of transition contains a lease on the basis of facts and circumstances existing at the date of transition, rather than when the lease was originally entered into.</w:t>
      </w:r>
    </w:p>
    <w:p w14:paraId="0B0FEDB4" w14:textId="77777777" w:rsidR="007A52A3" w:rsidRPr="00214121" w:rsidRDefault="007A52A3" w:rsidP="00214121">
      <w:pPr>
        <w:spacing w:line="360" w:lineRule="auto"/>
        <w:ind w:left="360"/>
        <w:rPr>
          <w:rFonts w:ascii="Arial" w:hAnsi="Arial"/>
        </w:rPr>
      </w:pPr>
    </w:p>
    <w:p w14:paraId="7D1EDA65" w14:textId="77777777" w:rsidR="007A52A3" w:rsidRPr="00214121" w:rsidRDefault="007A52A3" w:rsidP="00214121">
      <w:pPr>
        <w:pStyle w:val="Heading3"/>
        <w:keepLines/>
        <w:numPr>
          <w:ilvl w:val="0"/>
          <w:numId w:val="24"/>
        </w:numPr>
        <w:spacing w:before="40" w:after="0" w:line="360" w:lineRule="auto"/>
        <w:rPr>
          <w:sz w:val="24"/>
          <w:szCs w:val="24"/>
        </w:rPr>
      </w:pPr>
      <w:r w:rsidRPr="00214121">
        <w:rPr>
          <w:sz w:val="24"/>
          <w:szCs w:val="24"/>
        </w:rPr>
        <w:t>Decommissioning liabilities included in the cost of property, plant and equipment (PPE)</w:t>
      </w:r>
    </w:p>
    <w:p w14:paraId="23AD43E3" w14:textId="55853367" w:rsidR="007A52A3" w:rsidRPr="00214121" w:rsidRDefault="007A52A3" w:rsidP="00214121">
      <w:pPr>
        <w:spacing w:line="360" w:lineRule="auto"/>
        <w:ind w:left="360"/>
        <w:rPr>
          <w:rFonts w:ascii="Arial" w:hAnsi="Arial"/>
        </w:rPr>
      </w:pPr>
      <w:r w:rsidRPr="00214121">
        <w:rPr>
          <w:rFonts w:ascii="Arial" w:hAnsi="Arial"/>
        </w:rPr>
        <w:t>The cost of an item of PPE should include the initial estimate of the costs of dismantling and removing the item and restoring the site on which it is located.</w:t>
      </w:r>
      <w:r>
        <w:rPr>
          <w:rFonts w:ascii="Arial" w:hAnsi="Arial"/>
        </w:rPr>
        <w:t xml:space="preserve"> </w:t>
      </w:r>
      <w:r w:rsidRPr="00214121">
        <w:rPr>
          <w:rFonts w:ascii="Arial" w:hAnsi="Arial"/>
        </w:rPr>
        <w:t xml:space="preserve">A first-time adopter can choose to measure this portion of the cost at the date of transition rather than on the date(s) when the obligation initially arose. </w:t>
      </w:r>
    </w:p>
    <w:p w14:paraId="49122438" w14:textId="77777777" w:rsidR="007A52A3" w:rsidRPr="00214121" w:rsidRDefault="007A52A3" w:rsidP="00214121">
      <w:pPr>
        <w:spacing w:line="360" w:lineRule="auto"/>
        <w:ind w:left="360"/>
        <w:rPr>
          <w:rFonts w:ascii="Arial" w:hAnsi="Arial"/>
        </w:rPr>
      </w:pPr>
    </w:p>
    <w:p w14:paraId="5804607E" w14:textId="77777777" w:rsidR="007A52A3" w:rsidRPr="00214121" w:rsidRDefault="007A52A3" w:rsidP="00214121">
      <w:pPr>
        <w:pStyle w:val="Heading3"/>
        <w:keepLines/>
        <w:numPr>
          <w:ilvl w:val="0"/>
          <w:numId w:val="24"/>
        </w:numPr>
        <w:spacing w:before="40" w:after="0" w:line="360" w:lineRule="auto"/>
        <w:jc w:val="both"/>
        <w:rPr>
          <w:sz w:val="24"/>
          <w:szCs w:val="24"/>
        </w:rPr>
      </w:pPr>
      <w:r w:rsidRPr="00214121">
        <w:rPr>
          <w:sz w:val="24"/>
          <w:szCs w:val="24"/>
        </w:rPr>
        <w:t>Dormant companies</w:t>
      </w:r>
    </w:p>
    <w:p w14:paraId="3AF6AE0C" w14:textId="78854057" w:rsidR="007A52A3" w:rsidRPr="00214121" w:rsidRDefault="007A52A3" w:rsidP="00214121">
      <w:pPr>
        <w:spacing w:line="360" w:lineRule="auto"/>
        <w:ind w:left="360"/>
        <w:rPr>
          <w:rFonts w:ascii="Arial" w:hAnsi="Arial"/>
        </w:rPr>
      </w:pPr>
      <w:r w:rsidRPr="00214121">
        <w:rPr>
          <w:rFonts w:ascii="Arial" w:hAnsi="Arial"/>
        </w:rPr>
        <w:t xml:space="preserve">A company </w:t>
      </w:r>
      <w:r w:rsidR="0033397C">
        <w:rPr>
          <w:rFonts w:ascii="Arial" w:hAnsi="Arial"/>
        </w:rPr>
        <w:t>that</w:t>
      </w:r>
      <w:r w:rsidRPr="00214121">
        <w:rPr>
          <w:rFonts w:ascii="Arial" w:hAnsi="Arial"/>
        </w:rPr>
        <w:t xml:space="preserve"> is dormant (as defined in the Companies Act 2006) can retain its accounting policies for reported assets, liabilities and equity at the date of transition until such time that there is a change to those balances or the company enters into new transactions.</w:t>
      </w:r>
    </w:p>
    <w:p w14:paraId="247FC7E5" w14:textId="77777777" w:rsidR="007A52A3" w:rsidRPr="00214121" w:rsidRDefault="007A52A3" w:rsidP="00214121">
      <w:pPr>
        <w:spacing w:line="360" w:lineRule="auto"/>
        <w:ind w:left="360"/>
        <w:rPr>
          <w:rFonts w:ascii="Arial" w:hAnsi="Arial"/>
        </w:rPr>
      </w:pPr>
    </w:p>
    <w:p w14:paraId="5524653F" w14:textId="77777777" w:rsidR="007A52A3" w:rsidRPr="00214121" w:rsidRDefault="007A52A3" w:rsidP="00214121">
      <w:pPr>
        <w:pStyle w:val="Heading3"/>
        <w:keepLines/>
        <w:numPr>
          <w:ilvl w:val="0"/>
          <w:numId w:val="24"/>
        </w:numPr>
        <w:spacing w:before="40" w:after="0" w:line="360" w:lineRule="auto"/>
        <w:jc w:val="both"/>
        <w:rPr>
          <w:sz w:val="24"/>
          <w:szCs w:val="24"/>
        </w:rPr>
      </w:pPr>
      <w:r w:rsidRPr="00214121">
        <w:rPr>
          <w:sz w:val="24"/>
          <w:szCs w:val="24"/>
        </w:rPr>
        <w:t>Deferred development costs as deemed cost</w:t>
      </w:r>
    </w:p>
    <w:p w14:paraId="704CFF8B" w14:textId="2FEDEB78" w:rsidR="007A52A3" w:rsidRPr="00214121" w:rsidRDefault="007A52A3" w:rsidP="00214121">
      <w:pPr>
        <w:spacing w:line="360" w:lineRule="auto"/>
        <w:ind w:left="360"/>
        <w:rPr>
          <w:rFonts w:ascii="Arial" w:hAnsi="Arial"/>
        </w:rPr>
      </w:pPr>
      <w:r w:rsidRPr="00214121">
        <w:rPr>
          <w:rFonts w:ascii="Arial" w:hAnsi="Arial"/>
        </w:rPr>
        <w:t>The carrying amount of development costs capitalised under previous UK GAAP can be used as deemed cost on transition to FRS 102.</w:t>
      </w:r>
      <w:r>
        <w:rPr>
          <w:rFonts w:ascii="Arial" w:hAnsi="Arial"/>
        </w:rPr>
        <w:t xml:space="preserve"> </w:t>
      </w:r>
    </w:p>
    <w:p w14:paraId="54F479A5" w14:textId="77777777" w:rsidR="007A52A3" w:rsidRPr="00214121" w:rsidRDefault="007A52A3" w:rsidP="00214121">
      <w:pPr>
        <w:spacing w:line="360" w:lineRule="auto"/>
        <w:ind w:left="360"/>
        <w:rPr>
          <w:rFonts w:ascii="Arial" w:hAnsi="Arial"/>
        </w:rPr>
      </w:pPr>
    </w:p>
    <w:p w14:paraId="41EB9C69" w14:textId="77777777" w:rsidR="007A52A3" w:rsidRPr="00214121" w:rsidRDefault="007A52A3" w:rsidP="00214121">
      <w:pPr>
        <w:pStyle w:val="Heading3"/>
        <w:keepLines/>
        <w:numPr>
          <w:ilvl w:val="0"/>
          <w:numId w:val="24"/>
        </w:numPr>
        <w:spacing w:before="40" w:after="0" w:line="360" w:lineRule="auto"/>
        <w:jc w:val="both"/>
        <w:rPr>
          <w:sz w:val="24"/>
          <w:szCs w:val="24"/>
        </w:rPr>
      </w:pPr>
      <w:r w:rsidRPr="00214121">
        <w:rPr>
          <w:sz w:val="24"/>
          <w:szCs w:val="24"/>
        </w:rPr>
        <w:t>Lease incentives (see example 3 below)</w:t>
      </w:r>
    </w:p>
    <w:p w14:paraId="06DC5073" w14:textId="2538A3A3" w:rsidR="007A52A3" w:rsidRPr="00214121" w:rsidRDefault="007A52A3" w:rsidP="00214121">
      <w:pPr>
        <w:spacing w:line="360" w:lineRule="auto"/>
        <w:ind w:left="360"/>
        <w:rPr>
          <w:rFonts w:ascii="Arial" w:hAnsi="Arial"/>
        </w:rPr>
      </w:pPr>
      <w:r w:rsidRPr="00214121">
        <w:rPr>
          <w:rFonts w:ascii="Arial" w:hAnsi="Arial"/>
        </w:rPr>
        <w:t>A first-time adopter does not have to apply paragraphs 20.15A and 20.25A to lease incentives provided that the lease was entered into before the date of transition.</w:t>
      </w:r>
      <w:r>
        <w:rPr>
          <w:rFonts w:ascii="Arial" w:hAnsi="Arial"/>
        </w:rPr>
        <w:t xml:space="preserve"> </w:t>
      </w:r>
      <w:r w:rsidRPr="00214121">
        <w:rPr>
          <w:rFonts w:ascii="Arial" w:hAnsi="Arial"/>
        </w:rPr>
        <w:t>The first-time adopter can continue to recognise any remaining lease incentive (or cost associated with lease incentives) on the same basis as that applied at the date of transition to FRS 102.</w:t>
      </w:r>
    </w:p>
    <w:p w14:paraId="4D06F942" w14:textId="77777777" w:rsidR="007A52A3" w:rsidRPr="00214121" w:rsidRDefault="007A52A3" w:rsidP="00214121">
      <w:pPr>
        <w:spacing w:line="360" w:lineRule="auto"/>
        <w:ind w:left="360"/>
        <w:rPr>
          <w:rFonts w:ascii="Arial" w:hAnsi="Arial"/>
        </w:rPr>
      </w:pPr>
    </w:p>
    <w:p w14:paraId="1F953CA2" w14:textId="77777777" w:rsidR="007A52A3" w:rsidRPr="00214121" w:rsidRDefault="007A52A3" w:rsidP="00214121">
      <w:pPr>
        <w:pStyle w:val="Heading3"/>
        <w:keepLines/>
        <w:numPr>
          <w:ilvl w:val="0"/>
          <w:numId w:val="24"/>
        </w:numPr>
        <w:spacing w:before="40" w:after="0" w:line="360" w:lineRule="auto"/>
        <w:jc w:val="both"/>
        <w:rPr>
          <w:sz w:val="24"/>
          <w:szCs w:val="24"/>
        </w:rPr>
      </w:pPr>
      <w:r w:rsidRPr="00214121">
        <w:rPr>
          <w:sz w:val="24"/>
          <w:szCs w:val="24"/>
        </w:rPr>
        <w:t>Public benefit entity combinations</w:t>
      </w:r>
    </w:p>
    <w:p w14:paraId="3B43DCA8" w14:textId="527D1ADC" w:rsidR="007A52A3" w:rsidRPr="00214121" w:rsidRDefault="007A52A3" w:rsidP="00214121">
      <w:pPr>
        <w:spacing w:line="360" w:lineRule="auto"/>
        <w:ind w:left="360"/>
        <w:rPr>
          <w:rFonts w:ascii="Arial" w:hAnsi="Arial"/>
        </w:rPr>
      </w:pPr>
      <w:r w:rsidRPr="00214121">
        <w:rPr>
          <w:rFonts w:ascii="Arial" w:hAnsi="Arial"/>
        </w:rPr>
        <w:t xml:space="preserve">A first-time adopter does not have to apply paragraphs PBE34.75 to PBE34.86 to public benefit combinations </w:t>
      </w:r>
      <w:r w:rsidR="00932923">
        <w:rPr>
          <w:rFonts w:ascii="Arial" w:hAnsi="Arial"/>
        </w:rPr>
        <w:t>that</w:t>
      </w:r>
      <w:r w:rsidRPr="00214121">
        <w:rPr>
          <w:rFonts w:ascii="Arial" w:hAnsi="Arial"/>
        </w:rPr>
        <w:t xml:space="preserve"> had taken place prior to the date of transition.</w:t>
      </w:r>
      <w:r>
        <w:rPr>
          <w:rFonts w:ascii="Arial" w:hAnsi="Arial"/>
        </w:rPr>
        <w:t xml:space="preserve"> </w:t>
      </w:r>
      <w:r w:rsidRPr="00214121">
        <w:rPr>
          <w:rFonts w:ascii="Arial" w:hAnsi="Arial"/>
        </w:rPr>
        <w:t>However, if the first-time adopter restates any entity combination to comply with FRS 102, it must restate all later entity combinations.</w:t>
      </w:r>
    </w:p>
    <w:p w14:paraId="3574EFA6" w14:textId="77777777" w:rsidR="007A52A3" w:rsidRPr="00214121" w:rsidRDefault="007A52A3" w:rsidP="00214121">
      <w:pPr>
        <w:spacing w:line="360" w:lineRule="auto"/>
        <w:ind w:left="360"/>
        <w:rPr>
          <w:rFonts w:ascii="Arial" w:hAnsi="Arial"/>
        </w:rPr>
      </w:pPr>
    </w:p>
    <w:p w14:paraId="621A8C3E" w14:textId="77777777" w:rsidR="007A52A3" w:rsidRPr="00214121" w:rsidRDefault="007A52A3" w:rsidP="00214121">
      <w:pPr>
        <w:pStyle w:val="Heading3"/>
        <w:keepLines/>
        <w:numPr>
          <w:ilvl w:val="0"/>
          <w:numId w:val="24"/>
        </w:numPr>
        <w:spacing w:before="40" w:after="0" w:line="360" w:lineRule="auto"/>
        <w:jc w:val="both"/>
        <w:rPr>
          <w:sz w:val="24"/>
          <w:szCs w:val="24"/>
        </w:rPr>
      </w:pPr>
      <w:r w:rsidRPr="00214121">
        <w:rPr>
          <w:sz w:val="24"/>
          <w:szCs w:val="24"/>
        </w:rPr>
        <w:lastRenderedPageBreak/>
        <w:t>Assets and liabilities of subsidiaries, associates and joint ventures</w:t>
      </w:r>
    </w:p>
    <w:p w14:paraId="2F8317AB" w14:textId="77777777" w:rsidR="007A52A3" w:rsidRPr="00214121" w:rsidRDefault="007A52A3" w:rsidP="00214121">
      <w:pPr>
        <w:spacing w:line="360" w:lineRule="auto"/>
        <w:ind w:left="360"/>
        <w:rPr>
          <w:rFonts w:ascii="Arial" w:hAnsi="Arial"/>
        </w:rPr>
      </w:pPr>
      <w:r w:rsidRPr="00214121">
        <w:rPr>
          <w:rFonts w:ascii="Arial" w:hAnsi="Arial"/>
        </w:rPr>
        <w:t>When a subsidiary becomes a first-time adopter later than its parent, the subsidiary measures its assets and liabilities at either:</w:t>
      </w:r>
    </w:p>
    <w:p w14:paraId="532FB93C" w14:textId="77777777" w:rsidR="007A52A3" w:rsidRPr="00214121" w:rsidRDefault="007A52A3" w:rsidP="00214121">
      <w:pPr>
        <w:spacing w:line="360" w:lineRule="auto"/>
        <w:ind w:left="360"/>
        <w:rPr>
          <w:rFonts w:ascii="Arial" w:hAnsi="Arial"/>
        </w:rPr>
      </w:pPr>
    </w:p>
    <w:p w14:paraId="68E222E3" w14:textId="3481CD48" w:rsidR="007A52A3" w:rsidRPr="00214121" w:rsidRDefault="007A52A3" w:rsidP="00214121">
      <w:pPr>
        <w:pStyle w:val="ListParagraph"/>
        <w:numPr>
          <w:ilvl w:val="0"/>
          <w:numId w:val="25"/>
        </w:numPr>
        <w:spacing w:line="360" w:lineRule="auto"/>
        <w:rPr>
          <w:rFonts w:ascii="Arial" w:hAnsi="Arial"/>
          <w:sz w:val="24"/>
        </w:rPr>
      </w:pPr>
      <w:r w:rsidRPr="00214121">
        <w:rPr>
          <w:rFonts w:ascii="Arial" w:hAnsi="Arial"/>
          <w:sz w:val="24"/>
        </w:rPr>
        <w:t>the carrying values that would be included in the parent’s consolidated accounts.</w:t>
      </w:r>
      <w:r>
        <w:rPr>
          <w:rFonts w:ascii="Arial" w:hAnsi="Arial"/>
          <w:sz w:val="24"/>
        </w:rPr>
        <w:t xml:space="preserve"> </w:t>
      </w:r>
      <w:r w:rsidRPr="00214121">
        <w:rPr>
          <w:rFonts w:ascii="Arial" w:hAnsi="Arial"/>
          <w:sz w:val="24"/>
        </w:rPr>
        <w:t>These values are based on the parent’s date of transition to FRS 102 if no consolidation adjustments were made and for the effects of the business combination in which the parent acquired the subsidiary</w:t>
      </w:r>
      <w:r w:rsidR="00B604E1">
        <w:rPr>
          <w:rFonts w:ascii="Arial" w:hAnsi="Arial"/>
          <w:sz w:val="24"/>
        </w:rPr>
        <w:t>,</w:t>
      </w:r>
      <w:r w:rsidRPr="00214121">
        <w:rPr>
          <w:rFonts w:ascii="Arial" w:hAnsi="Arial"/>
          <w:sz w:val="24"/>
        </w:rPr>
        <w:t xml:space="preserve"> or</w:t>
      </w:r>
    </w:p>
    <w:p w14:paraId="4661547A" w14:textId="72AD150D" w:rsidR="007A52A3" w:rsidRPr="00214121" w:rsidRDefault="007A52A3" w:rsidP="00214121">
      <w:pPr>
        <w:pStyle w:val="ListParagraph"/>
        <w:numPr>
          <w:ilvl w:val="0"/>
          <w:numId w:val="25"/>
        </w:numPr>
        <w:spacing w:line="360" w:lineRule="auto"/>
        <w:rPr>
          <w:rFonts w:ascii="Arial" w:hAnsi="Arial"/>
          <w:sz w:val="24"/>
        </w:rPr>
      </w:pPr>
      <w:r w:rsidRPr="00214121">
        <w:rPr>
          <w:rFonts w:ascii="Arial" w:hAnsi="Arial"/>
          <w:sz w:val="24"/>
        </w:rPr>
        <w:t>the carrying values required by the rest of FRS 102</w:t>
      </w:r>
      <w:r w:rsidR="00B604E1">
        <w:rPr>
          <w:rFonts w:ascii="Arial" w:hAnsi="Arial"/>
          <w:sz w:val="24"/>
        </w:rPr>
        <w:t>,</w:t>
      </w:r>
      <w:r w:rsidRPr="00214121">
        <w:rPr>
          <w:rFonts w:ascii="Arial" w:hAnsi="Arial"/>
          <w:sz w:val="24"/>
        </w:rPr>
        <w:t xml:space="preserve"> which are based on the subsidiary’s date of transition.</w:t>
      </w:r>
    </w:p>
    <w:p w14:paraId="1EF2A962" w14:textId="77777777" w:rsidR="007A52A3" w:rsidRPr="00214121" w:rsidRDefault="007A52A3" w:rsidP="00214121">
      <w:pPr>
        <w:spacing w:line="360" w:lineRule="auto"/>
        <w:rPr>
          <w:rFonts w:ascii="Arial" w:hAnsi="Arial"/>
        </w:rPr>
      </w:pPr>
    </w:p>
    <w:p w14:paraId="5E58DF01" w14:textId="5390BDA8" w:rsidR="007A52A3" w:rsidRPr="00214121" w:rsidRDefault="007A52A3" w:rsidP="00214121">
      <w:pPr>
        <w:spacing w:line="360" w:lineRule="auto"/>
        <w:ind w:left="360"/>
        <w:rPr>
          <w:rFonts w:ascii="Arial" w:hAnsi="Arial"/>
        </w:rPr>
      </w:pPr>
      <w:r w:rsidRPr="00214121">
        <w:rPr>
          <w:rFonts w:ascii="Arial" w:hAnsi="Arial"/>
        </w:rPr>
        <w:t xml:space="preserve">The carrying values in 2 could be different </w:t>
      </w:r>
      <w:r w:rsidR="00C92F1C">
        <w:rPr>
          <w:rFonts w:ascii="Arial" w:hAnsi="Arial"/>
        </w:rPr>
        <w:t>from</w:t>
      </w:r>
      <w:r w:rsidRPr="00214121">
        <w:rPr>
          <w:rFonts w:ascii="Arial" w:hAnsi="Arial"/>
        </w:rPr>
        <w:t xml:space="preserve"> in 1 where the exemptions result in measurements </w:t>
      </w:r>
      <w:r w:rsidR="00234864">
        <w:rPr>
          <w:rFonts w:ascii="Arial" w:hAnsi="Arial"/>
        </w:rPr>
        <w:t>that</w:t>
      </w:r>
      <w:r w:rsidRPr="00214121">
        <w:rPr>
          <w:rFonts w:ascii="Arial" w:hAnsi="Arial"/>
        </w:rPr>
        <w:t xml:space="preserve"> are dependent on the date of transition.</w:t>
      </w:r>
      <w:r>
        <w:rPr>
          <w:rFonts w:ascii="Arial" w:hAnsi="Arial"/>
        </w:rPr>
        <w:t xml:space="preserve"> </w:t>
      </w:r>
      <w:r w:rsidRPr="00214121">
        <w:rPr>
          <w:rFonts w:ascii="Arial" w:hAnsi="Arial"/>
        </w:rPr>
        <w:t>In addition, differences could arise where the accounting policies used by the subsidiary differ from those in the consolidated accounts.</w:t>
      </w:r>
    </w:p>
    <w:p w14:paraId="1270115E" w14:textId="77777777" w:rsidR="007A52A3" w:rsidRPr="00214121" w:rsidRDefault="007A52A3" w:rsidP="00214121">
      <w:pPr>
        <w:spacing w:line="360" w:lineRule="auto"/>
        <w:ind w:left="360"/>
        <w:rPr>
          <w:rFonts w:ascii="Arial" w:hAnsi="Arial"/>
        </w:rPr>
      </w:pPr>
    </w:p>
    <w:p w14:paraId="7056FB1E" w14:textId="711ADDA9" w:rsidR="007A52A3" w:rsidRPr="00214121" w:rsidRDefault="007A52A3" w:rsidP="00214121">
      <w:pPr>
        <w:spacing w:line="360" w:lineRule="auto"/>
        <w:ind w:left="360"/>
        <w:rPr>
          <w:rFonts w:ascii="Arial" w:hAnsi="Arial"/>
        </w:rPr>
      </w:pPr>
      <w:r w:rsidRPr="00214121">
        <w:rPr>
          <w:rFonts w:ascii="Arial" w:hAnsi="Arial"/>
        </w:rPr>
        <w:t xml:space="preserve">Similar exemptions are available for an associate or joint venture </w:t>
      </w:r>
      <w:r w:rsidR="00A261C8">
        <w:rPr>
          <w:rFonts w:ascii="Arial" w:hAnsi="Arial"/>
        </w:rPr>
        <w:t>that</w:t>
      </w:r>
      <w:r w:rsidRPr="00214121">
        <w:rPr>
          <w:rFonts w:ascii="Arial" w:hAnsi="Arial"/>
        </w:rPr>
        <w:t xml:space="preserve"> become a first-time adopter later than the entity </w:t>
      </w:r>
      <w:r w:rsidR="00F04DE3">
        <w:rPr>
          <w:rFonts w:ascii="Arial" w:hAnsi="Arial"/>
        </w:rPr>
        <w:t>that</w:t>
      </w:r>
      <w:r w:rsidRPr="00214121">
        <w:rPr>
          <w:rFonts w:ascii="Arial" w:hAnsi="Arial"/>
        </w:rPr>
        <w:t xml:space="preserve"> holds significant influence or joint control over it.</w:t>
      </w:r>
    </w:p>
    <w:p w14:paraId="53ECA209" w14:textId="77777777" w:rsidR="007A52A3" w:rsidRPr="00214121" w:rsidRDefault="007A52A3" w:rsidP="00214121">
      <w:pPr>
        <w:spacing w:line="360" w:lineRule="auto"/>
        <w:ind w:left="360"/>
        <w:rPr>
          <w:rFonts w:ascii="Arial" w:hAnsi="Arial"/>
        </w:rPr>
      </w:pPr>
    </w:p>
    <w:p w14:paraId="38112217" w14:textId="75698413" w:rsidR="007A52A3" w:rsidRPr="00214121" w:rsidRDefault="007A52A3" w:rsidP="00214121">
      <w:pPr>
        <w:spacing w:line="360" w:lineRule="auto"/>
        <w:ind w:left="360"/>
        <w:rPr>
          <w:rFonts w:ascii="Arial" w:hAnsi="Arial"/>
        </w:rPr>
      </w:pPr>
      <w:r w:rsidRPr="009F0192">
        <w:rPr>
          <w:rFonts w:ascii="Arial" w:hAnsi="Arial"/>
        </w:rPr>
        <w:t>Conversely, where the parent or investor becomes a first-time adopter later than its subsidiary, associate or joint venture, the parent/investor will, in the consolidated financial statements, measure the assets and liabilities of the subsidiary, associate or joint venture at the same carrying value as in the subsidiary’s</w:t>
      </w:r>
      <w:r w:rsidR="00AB48CE" w:rsidRPr="009F0192">
        <w:rPr>
          <w:rFonts w:ascii="Arial" w:hAnsi="Arial"/>
        </w:rPr>
        <w:t>,</w:t>
      </w:r>
      <w:r w:rsidRPr="009F0192">
        <w:rPr>
          <w:rFonts w:ascii="Arial" w:hAnsi="Arial"/>
        </w:rPr>
        <w:t xml:space="preserve"> associate’s or joint venture’s financial statements</w:t>
      </w:r>
      <w:r w:rsidR="00365F0F" w:rsidRPr="009F0192">
        <w:rPr>
          <w:rFonts w:ascii="Arial" w:hAnsi="Arial"/>
        </w:rPr>
        <w:t>. This</w:t>
      </w:r>
      <w:r w:rsidRPr="009F0192">
        <w:rPr>
          <w:rFonts w:ascii="Arial" w:hAnsi="Arial"/>
        </w:rPr>
        <w:t xml:space="preserve"> takes into account consolidation and equity accounting adjustments as well as the effects of the business combination in which the parent acquired the subsidiary or transaction in which the entity acquired the associate or joint venture.</w:t>
      </w:r>
    </w:p>
    <w:p w14:paraId="045598A3" w14:textId="77777777" w:rsidR="007A52A3" w:rsidRPr="00214121" w:rsidRDefault="007A52A3" w:rsidP="00214121">
      <w:pPr>
        <w:spacing w:line="360" w:lineRule="auto"/>
        <w:ind w:left="360"/>
        <w:rPr>
          <w:rFonts w:ascii="Arial" w:hAnsi="Arial"/>
        </w:rPr>
      </w:pPr>
    </w:p>
    <w:p w14:paraId="62CD553E" w14:textId="77777777" w:rsidR="007A52A3" w:rsidRPr="00214121" w:rsidRDefault="007A52A3" w:rsidP="00214121">
      <w:pPr>
        <w:spacing w:line="360" w:lineRule="auto"/>
        <w:ind w:left="360"/>
        <w:rPr>
          <w:rFonts w:ascii="Arial" w:hAnsi="Arial"/>
        </w:rPr>
      </w:pPr>
      <w:r w:rsidRPr="00214121">
        <w:rPr>
          <w:rFonts w:ascii="Arial" w:hAnsi="Arial"/>
        </w:rPr>
        <w:t xml:space="preserve">Where the parent becomes a first-time adopter in respect of its separate financial statements earlier or later than for its consolidated accounts, the parent measures its assets and liabilities at the same value in both sets of accounts, except for consolidation adjustments. </w:t>
      </w:r>
    </w:p>
    <w:p w14:paraId="7A4C15EB" w14:textId="77777777" w:rsidR="007A52A3" w:rsidRPr="00214121" w:rsidRDefault="007A52A3" w:rsidP="00214121">
      <w:pPr>
        <w:spacing w:line="360" w:lineRule="auto"/>
        <w:ind w:left="360"/>
        <w:rPr>
          <w:rFonts w:ascii="Arial" w:hAnsi="Arial"/>
        </w:rPr>
      </w:pPr>
    </w:p>
    <w:p w14:paraId="53F1D5E0" w14:textId="77777777" w:rsidR="007A52A3" w:rsidRPr="00214121" w:rsidRDefault="007A52A3" w:rsidP="00214121">
      <w:pPr>
        <w:pStyle w:val="Heading3"/>
        <w:keepLines/>
        <w:numPr>
          <w:ilvl w:val="0"/>
          <w:numId w:val="24"/>
        </w:numPr>
        <w:spacing w:before="40" w:after="0" w:line="360" w:lineRule="auto"/>
        <w:jc w:val="both"/>
        <w:rPr>
          <w:sz w:val="24"/>
          <w:szCs w:val="24"/>
        </w:rPr>
      </w:pPr>
      <w:r w:rsidRPr="00214121">
        <w:rPr>
          <w:sz w:val="24"/>
          <w:szCs w:val="24"/>
        </w:rPr>
        <w:t>Designation of previously recognised financial instruments</w:t>
      </w:r>
    </w:p>
    <w:p w14:paraId="7FA6D5CD" w14:textId="5FD43024" w:rsidR="007A52A3" w:rsidRPr="00214121" w:rsidRDefault="007A52A3" w:rsidP="00214121">
      <w:pPr>
        <w:spacing w:line="360" w:lineRule="auto"/>
        <w:ind w:left="360"/>
        <w:rPr>
          <w:rFonts w:ascii="Arial" w:hAnsi="Arial"/>
        </w:rPr>
      </w:pPr>
      <w:r w:rsidRPr="00214121">
        <w:rPr>
          <w:rFonts w:ascii="Arial" w:hAnsi="Arial"/>
        </w:rPr>
        <w:t xml:space="preserve">FRS 102 allows a financial instrument to be designated on initial recognition as a financial asset or financial liability at fair value through profit or loss, provided certain </w:t>
      </w:r>
      <w:r w:rsidRPr="00214121">
        <w:rPr>
          <w:rFonts w:ascii="Arial" w:hAnsi="Arial"/>
        </w:rPr>
        <w:lastRenderedPageBreak/>
        <w:t>criteria are met.</w:t>
      </w:r>
      <w:r>
        <w:rPr>
          <w:rFonts w:ascii="Arial" w:hAnsi="Arial"/>
        </w:rPr>
        <w:t xml:space="preserve"> </w:t>
      </w:r>
      <w:r w:rsidRPr="00214121">
        <w:rPr>
          <w:rFonts w:ascii="Arial" w:hAnsi="Arial"/>
        </w:rPr>
        <w:t>A first-time adopter can designate any financial asset or financial liability at fair value through profit or loss provided</w:t>
      </w:r>
      <w:r w:rsidR="00764C78">
        <w:rPr>
          <w:rFonts w:ascii="Arial" w:hAnsi="Arial"/>
        </w:rPr>
        <w:t xml:space="preserve"> that</w:t>
      </w:r>
      <w:r w:rsidRPr="00214121">
        <w:rPr>
          <w:rFonts w:ascii="Arial" w:hAnsi="Arial"/>
        </w:rPr>
        <w:t xml:space="preserve"> the asset or liability meets the criteria in paragraph 11.14(b) at the date of transition.</w:t>
      </w:r>
      <w:r>
        <w:rPr>
          <w:rFonts w:ascii="Arial" w:hAnsi="Arial"/>
        </w:rPr>
        <w:t xml:space="preserve"> </w:t>
      </w:r>
    </w:p>
    <w:p w14:paraId="3E651B19" w14:textId="77777777" w:rsidR="007A52A3" w:rsidRPr="00214121" w:rsidRDefault="007A52A3" w:rsidP="00214121">
      <w:pPr>
        <w:spacing w:line="360" w:lineRule="auto"/>
        <w:ind w:left="360"/>
        <w:rPr>
          <w:rFonts w:ascii="Arial" w:hAnsi="Arial"/>
        </w:rPr>
      </w:pPr>
    </w:p>
    <w:p w14:paraId="47CD7136" w14:textId="77777777" w:rsidR="007A52A3" w:rsidRPr="00214121" w:rsidRDefault="007A52A3" w:rsidP="00214121">
      <w:pPr>
        <w:pStyle w:val="Heading3"/>
        <w:keepLines/>
        <w:numPr>
          <w:ilvl w:val="0"/>
          <w:numId w:val="24"/>
        </w:numPr>
        <w:spacing w:before="40" w:after="0" w:line="360" w:lineRule="auto"/>
        <w:jc w:val="both"/>
        <w:rPr>
          <w:sz w:val="24"/>
          <w:szCs w:val="24"/>
        </w:rPr>
      </w:pPr>
      <w:r w:rsidRPr="00214121">
        <w:rPr>
          <w:sz w:val="24"/>
          <w:szCs w:val="24"/>
        </w:rPr>
        <w:t>Hedge accounting</w:t>
      </w:r>
    </w:p>
    <w:p w14:paraId="2F7D0A5F" w14:textId="2478E40C" w:rsidR="007A52A3" w:rsidRPr="00214121" w:rsidRDefault="007A52A3" w:rsidP="00214121">
      <w:pPr>
        <w:spacing w:line="360" w:lineRule="auto"/>
        <w:ind w:left="360"/>
        <w:rPr>
          <w:rFonts w:ascii="Arial" w:hAnsi="Arial"/>
        </w:rPr>
      </w:pPr>
      <w:r w:rsidRPr="00214121">
        <w:rPr>
          <w:rFonts w:ascii="Arial" w:hAnsi="Arial"/>
        </w:rPr>
        <w:t xml:space="preserve">There are exemptions available in respect of hedge accounting </w:t>
      </w:r>
      <w:r w:rsidR="00CF5C82">
        <w:rPr>
          <w:rFonts w:ascii="Arial" w:hAnsi="Arial"/>
        </w:rPr>
        <w:t>that</w:t>
      </w:r>
      <w:r w:rsidRPr="00214121">
        <w:rPr>
          <w:rFonts w:ascii="Arial" w:hAnsi="Arial"/>
        </w:rPr>
        <w:t xml:space="preserve"> may be applied in respect of:</w:t>
      </w:r>
    </w:p>
    <w:p w14:paraId="6B03AB9C" w14:textId="77777777" w:rsidR="007A52A3" w:rsidRPr="00214121" w:rsidRDefault="007A52A3" w:rsidP="00214121">
      <w:pPr>
        <w:spacing w:line="360" w:lineRule="auto"/>
        <w:ind w:left="360"/>
        <w:rPr>
          <w:rFonts w:ascii="Arial" w:hAnsi="Arial"/>
        </w:rPr>
      </w:pPr>
    </w:p>
    <w:p w14:paraId="06DB7C5B" w14:textId="4CD1564F" w:rsidR="007A52A3" w:rsidRPr="00214121" w:rsidRDefault="007A52A3" w:rsidP="00214121">
      <w:pPr>
        <w:pStyle w:val="ListParagraph"/>
        <w:numPr>
          <w:ilvl w:val="1"/>
          <w:numId w:val="24"/>
        </w:numPr>
        <w:spacing w:line="360" w:lineRule="auto"/>
        <w:rPr>
          <w:rFonts w:ascii="Arial" w:hAnsi="Arial"/>
          <w:sz w:val="24"/>
        </w:rPr>
      </w:pPr>
      <w:r w:rsidRPr="00214121">
        <w:rPr>
          <w:rFonts w:ascii="Arial" w:hAnsi="Arial"/>
          <w:sz w:val="24"/>
        </w:rPr>
        <w:t>a hedging relationship existing at the date of transition</w:t>
      </w:r>
    </w:p>
    <w:p w14:paraId="2D3E6C20" w14:textId="343CDD3E" w:rsidR="007A52A3" w:rsidRPr="00214121" w:rsidRDefault="007A52A3" w:rsidP="00214121">
      <w:pPr>
        <w:pStyle w:val="ListParagraph"/>
        <w:numPr>
          <w:ilvl w:val="1"/>
          <w:numId w:val="24"/>
        </w:numPr>
        <w:spacing w:line="360" w:lineRule="auto"/>
        <w:rPr>
          <w:rFonts w:ascii="Arial" w:hAnsi="Arial"/>
          <w:sz w:val="24"/>
        </w:rPr>
      </w:pPr>
      <w:r w:rsidRPr="00214121">
        <w:rPr>
          <w:rFonts w:ascii="Arial" w:hAnsi="Arial"/>
          <w:sz w:val="24"/>
        </w:rPr>
        <w:t xml:space="preserve">a hedging relationship which ceased to exist at the date of transition because the hedging instrument had expired, was sold, terminated or exercised </w:t>
      </w:r>
      <w:r w:rsidR="00FA606F">
        <w:rPr>
          <w:rFonts w:ascii="Arial" w:hAnsi="Arial"/>
          <w:sz w:val="24"/>
        </w:rPr>
        <w:t>prior to the date of transition</w:t>
      </w:r>
    </w:p>
    <w:p w14:paraId="4EC6E2E3" w14:textId="0FA755AE" w:rsidR="007A52A3" w:rsidRPr="00214121" w:rsidRDefault="007A52A3" w:rsidP="00214121">
      <w:pPr>
        <w:pStyle w:val="ListParagraph"/>
        <w:numPr>
          <w:ilvl w:val="1"/>
          <w:numId w:val="24"/>
        </w:numPr>
        <w:spacing w:line="360" w:lineRule="auto"/>
        <w:rPr>
          <w:rFonts w:ascii="Arial" w:hAnsi="Arial"/>
          <w:sz w:val="24"/>
        </w:rPr>
      </w:pPr>
      <w:r w:rsidRPr="00214121">
        <w:rPr>
          <w:rFonts w:ascii="Arial" w:hAnsi="Arial"/>
          <w:sz w:val="24"/>
        </w:rPr>
        <w:t>a hedging relationship which commenced subsequent to the date of transition</w:t>
      </w:r>
    </w:p>
    <w:p w14:paraId="3EFB0172" w14:textId="1B4CEF25" w:rsidR="007A52A3" w:rsidRPr="00214121" w:rsidRDefault="007A52A3" w:rsidP="00214121">
      <w:pPr>
        <w:pStyle w:val="ListParagraph"/>
        <w:numPr>
          <w:ilvl w:val="1"/>
          <w:numId w:val="24"/>
        </w:numPr>
        <w:spacing w:line="360" w:lineRule="auto"/>
        <w:rPr>
          <w:rFonts w:ascii="Arial" w:hAnsi="Arial"/>
          <w:sz w:val="24"/>
        </w:rPr>
      </w:pPr>
      <w:r w:rsidRPr="00214121">
        <w:rPr>
          <w:rFonts w:ascii="Arial" w:hAnsi="Arial"/>
          <w:sz w:val="24"/>
        </w:rPr>
        <w:t xml:space="preserve">entities </w:t>
      </w:r>
      <w:r w:rsidR="00FA606F">
        <w:rPr>
          <w:rFonts w:ascii="Arial" w:hAnsi="Arial"/>
          <w:sz w:val="24"/>
        </w:rPr>
        <w:t>that</w:t>
      </w:r>
      <w:r w:rsidRPr="00214121">
        <w:rPr>
          <w:rFonts w:ascii="Arial" w:hAnsi="Arial"/>
          <w:sz w:val="24"/>
        </w:rPr>
        <w:t xml:space="preserve"> choose to take the accounting policy choice under paragraphs 11.2(b) or (c)</w:t>
      </w:r>
      <w:r w:rsidR="00605640">
        <w:rPr>
          <w:rFonts w:ascii="Arial" w:hAnsi="Arial"/>
          <w:sz w:val="24"/>
        </w:rPr>
        <w:t>,</w:t>
      </w:r>
      <w:r w:rsidRPr="00214121">
        <w:rPr>
          <w:rFonts w:ascii="Arial" w:hAnsi="Arial"/>
          <w:sz w:val="24"/>
        </w:rPr>
        <w:t xml:space="preserve"> or paragraphs 12.2(b) or (c)</w:t>
      </w:r>
      <w:r w:rsidR="00605640">
        <w:rPr>
          <w:rFonts w:ascii="Arial" w:hAnsi="Arial"/>
          <w:sz w:val="24"/>
        </w:rPr>
        <w:t>,</w:t>
      </w:r>
      <w:r w:rsidRPr="00214121">
        <w:rPr>
          <w:rFonts w:ascii="Arial" w:hAnsi="Arial"/>
          <w:sz w:val="24"/>
        </w:rPr>
        <w:t xml:space="preserve"> and apply IAS 39</w:t>
      </w:r>
      <w:r w:rsidR="00605640">
        <w:rPr>
          <w:rFonts w:ascii="Arial" w:hAnsi="Arial"/>
          <w:sz w:val="24"/>
        </w:rPr>
        <w:t>,</w:t>
      </w:r>
      <w:r w:rsidRPr="00214121">
        <w:rPr>
          <w:rFonts w:ascii="Arial" w:hAnsi="Arial"/>
          <w:sz w:val="24"/>
        </w:rPr>
        <w:t xml:space="preserve"> </w:t>
      </w:r>
      <w:r w:rsidRPr="00214121">
        <w:rPr>
          <w:rFonts w:ascii="Arial" w:hAnsi="Arial"/>
          <w:i/>
          <w:sz w:val="24"/>
        </w:rPr>
        <w:t>Financial Instruments: Recognition and Measurement</w:t>
      </w:r>
      <w:r w:rsidR="00605640" w:rsidRPr="00214121">
        <w:rPr>
          <w:rFonts w:ascii="Arial" w:hAnsi="Arial"/>
          <w:sz w:val="24"/>
        </w:rPr>
        <w:t>,</w:t>
      </w:r>
      <w:r w:rsidRPr="00214121">
        <w:rPr>
          <w:rFonts w:ascii="Arial" w:hAnsi="Arial"/>
          <w:i/>
          <w:sz w:val="24"/>
        </w:rPr>
        <w:t xml:space="preserve"> </w:t>
      </w:r>
      <w:r w:rsidRPr="00214121">
        <w:rPr>
          <w:rFonts w:ascii="Arial" w:hAnsi="Arial"/>
          <w:sz w:val="24"/>
        </w:rPr>
        <w:t>or IFRS 9</w:t>
      </w:r>
      <w:r w:rsidR="00605640">
        <w:rPr>
          <w:rFonts w:ascii="Arial" w:hAnsi="Arial"/>
          <w:sz w:val="24"/>
        </w:rPr>
        <w:t>,</w:t>
      </w:r>
      <w:r w:rsidRPr="00214121">
        <w:rPr>
          <w:rFonts w:ascii="Arial" w:hAnsi="Arial"/>
          <w:sz w:val="24"/>
        </w:rPr>
        <w:t xml:space="preserve"> </w:t>
      </w:r>
      <w:r w:rsidRPr="00214121">
        <w:rPr>
          <w:rFonts w:ascii="Arial" w:hAnsi="Arial"/>
          <w:i/>
          <w:sz w:val="24"/>
        </w:rPr>
        <w:t>Financial Instruments</w:t>
      </w:r>
      <w:r w:rsidRPr="00214121">
        <w:rPr>
          <w:rFonts w:ascii="Arial" w:hAnsi="Arial"/>
          <w:sz w:val="24"/>
        </w:rPr>
        <w:t>.</w:t>
      </w:r>
    </w:p>
    <w:p w14:paraId="3E734A3B" w14:textId="77777777" w:rsidR="007A52A3" w:rsidRPr="00214121" w:rsidRDefault="007A52A3" w:rsidP="00214121">
      <w:pPr>
        <w:spacing w:line="360" w:lineRule="auto"/>
        <w:rPr>
          <w:rFonts w:ascii="Arial" w:hAnsi="Arial"/>
        </w:rPr>
      </w:pPr>
    </w:p>
    <w:p w14:paraId="67F38EC6" w14:textId="77777777" w:rsidR="007A52A3" w:rsidRPr="00214121" w:rsidRDefault="007A52A3" w:rsidP="00214121">
      <w:pPr>
        <w:pStyle w:val="Heading3"/>
        <w:keepLines/>
        <w:numPr>
          <w:ilvl w:val="0"/>
          <w:numId w:val="24"/>
        </w:numPr>
        <w:spacing w:before="40" w:after="0" w:line="360" w:lineRule="auto"/>
        <w:jc w:val="both"/>
        <w:rPr>
          <w:sz w:val="24"/>
          <w:szCs w:val="24"/>
        </w:rPr>
      </w:pPr>
      <w:r w:rsidRPr="00214121">
        <w:rPr>
          <w:sz w:val="24"/>
          <w:szCs w:val="24"/>
        </w:rPr>
        <w:t>Small entities – fair value measurement of financial instruments</w:t>
      </w:r>
    </w:p>
    <w:p w14:paraId="05B93DDD" w14:textId="5B03AC7F" w:rsidR="007A52A3" w:rsidRPr="00214121" w:rsidRDefault="007A52A3" w:rsidP="00214121">
      <w:pPr>
        <w:tabs>
          <w:tab w:val="left" w:pos="142"/>
        </w:tabs>
        <w:spacing w:line="360" w:lineRule="auto"/>
        <w:ind w:left="360"/>
        <w:rPr>
          <w:rFonts w:ascii="Arial" w:hAnsi="Arial"/>
        </w:rPr>
      </w:pPr>
      <w:r w:rsidRPr="00214121">
        <w:rPr>
          <w:rFonts w:ascii="Arial" w:hAnsi="Arial"/>
        </w:rPr>
        <w:t xml:space="preserve">A small entity that adopts FRS 102 for an accounting period starting before 1 January 2017 does not need to restate comparative information to comply with the fair value measurement requirements of </w:t>
      </w:r>
      <w:r w:rsidR="00A13CFD">
        <w:rPr>
          <w:rFonts w:ascii="Arial" w:hAnsi="Arial"/>
        </w:rPr>
        <w:t>s</w:t>
      </w:r>
      <w:r w:rsidRPr="00214121">
        <w:rPr>
          <w:rFonts w:ascii="Arial" w:hAnsi="Arial"/>
        </w:rPr>
        <w:t>ection 11</w:t>
      </w:r>
      <w:r w:rsidR="00A13CFD">
        <w:rPr>
          <w:rFonts w:ascii="Arial" w:hAnsi="Arial"/>
        </w:rPr>
        <w:t>,</w:t>
      </w:r>
      <w:r w:rsidRPr="00214121">
        <w:rPr>
          <w:rFonts w:ascii="Arial" w:hAnsi="Arial"/>
        </w:rPr>
        <w:t xml:space="preserve"> </w:t>
      </w:r>
      <w:r w:rsidR="00A13CFD">
        <w:rPr>
          <w:rFonts w:ascii="Arial" w:hAnsi="Arial"/>
        </w:rPr>
        <w:t>‘</w:t>
      </w:r>
      <w:r w:rsidRPr="00214121">
        <w:rPr>
          <w:rFonts w:ascii="Arial" w:hAnsi="Arial"/>
        </w:rPr>
        <w:t>Basic Financial Instruments</w:t>
      </w:r>
      <w:r w:rsidR="00A13CFD">
        <w:rPr>
          <w:rFonts w:ascii="Arial" w:hAnsi="Arial"/>
        </w:rPr>
        <w:t>’</w:t>
      </w:r>
      <w:r w:rsidRPr="00214121">
        <w:rPr>
          <w:rFonts w:ascii="Arial" w:hAnsi="Arial"/>
          <w:i/>
        </w:rPr>
        <w:t xml:space="preserve"> </w:t>
      </w:r>
      <w:r w:rsidRPr="00214121">
        <w:rPr>
          <w:rFonts w:ascii="Arial" w:hAnsi="Arial"/>
        </w:rPr>
        <w:t xml:space="preserve">or </w:t>
      </w:r>
      <w:r w:rsidR="00A13CFD">
        <w:rPr>
          <w:rFonts w:ascii="Arial" w:hAnsi="Arial"/>
        </w:rPr>
        <w:t>s</w:t>
      </w:r>
      <w:r w:rsidRPr="00214121">
        <w:rPr>
          <w:rFonts w:ascii="Arial" w:hAnsi="Arial"/>
        </w:rPr>
        <w:t>ection 12</w:t>
      </w:r>
      <w:r w:rsidR="00A13CFD">
        <w:rPr>
          <w:rFonts w:ascii="Arial" w:hAnsi="Arial"/>
        </w:rPr>
        <w:t>,</w:t>
      </w:r>
      <w:r w:rsidRPr="00214121">
        <w:rPr>
          <w:rFonts w:ascii="Arial" w:hAnsi="Arial"/>
        </w:rPr>
        <w:t xml:space="preserve"> </w:t>
      </w:r>
      <w:r w:rsidR="00A13CFD" w:rsidRPr="00A13CFD">
        <w:rPr>
          <w:rFonts w:ascii="Arial" w:hAnsi="Arial"/>
        </w:rPr>
        <w:t>‘</w:t>
      </w:r>
      <w:r w:rsidRPr="00214121">
        <w:rPr>
          <w:rFonts w:ascii="Arial" w:hAnsi="Arial"/>
        </w:rPr>
        <w:t>Other Financial Instruments Issues</w:t>
      </w:r>
      <w:r w:rsidR="00A13CFD" w:rsidRPr="00214121">
        <w:rPr>
          <w:rFonts w:ascii="Arial" w:hAnsi="Arial"/>
        </w:rPr>
        <w:t>’</w:t>
      </w:r>
      <w:r w:rsidRPr="00214121">
        <w:rPr>
          <w:rFonts w:ascii="Arial" w:hAnsi="Arial"/>
        </w:rPr>
        <w:t>, unless those instruments were measured at fair value under previous UK GAAP.</w:t>
      </w:r>
      <w:r>
        <w:rPr>
          <w:rFonts w:ascii="Arial" w:hAnsi="Arial"/>
        </w:rPr>
        <w:t xml:space="preserve"> </w:t>
      </w:r>
      <w:r w:rsidRPr="00214121">
        <w:rPr>
          <w:rFonts w:ascii="Arial" w:hAnsi="Arial"/>
        </w:rPr>
        <w:t xml:space="preserve">A small entity that chooses to present comparative information which does not comply with the fair value measurement requirements of </w:t>
      </w:r>
      <w:r w:rsidR="009F50BB">
        <w:rPr>
          <w:rFonts w:ascii="Arial" w:hAnsi="Arial"/>
        </w:rPr>
        <w:t>s</w:t>
      </w:r>
      <w:r w:rsidRPr="00214121">
        <w:rPr>
          <w:rFonts w:ascii="Arial" w:hAnsi="Arial"/>
        </w:rPr>
        <w:t>ections 11 and 12 in its first year of adoption must:</w:t>
      </w:r>
    </w:p>
    <w:p w14:paraId="2E870B65" w14:textId="77777777" w:rsidR="007A52A3" w:rsidRPr="00214121" w:rsidRDefault="007A52A3" w:rsidP="00214121">
      <w:pPr>
        <w:spacing w:line="360" w:lineRule="auto"/>
        <w:ind w:left="360"/>
        <w:rPr>
          <w:rFonts w:ascii="Arial" w:hAnsi="Arial"/>
        </w:rPr>
      </w:pPr>
    </w:p>
    <w:p w14:paraId="0DCCFFCE" w14:textId="2DBA3D87" w:rsidR="007A52A3" w:rsidRPr="00214121" w:rsidRDefault="00281380" w:rsidP="00214121">
      <w:pPr>
        <w:spacing w:line="360" w:lineRule="auto"/>
        <w:ind w:left="720" w:hanging="360"/>
        <w:rPr>
          <w:rFonts w:ascii="Arial" w:hAnsi="Arial"/>
        </w:rPr>
      </w:pPr>
      <w:r>
        <w:rPr>
          <w:rFonts w:ascii="Arial" w:hAnsi="Arial"/>
        </w:rPr>
        <w:t>a.</w:t>
      </w:r>
      <w:r w:rsidR="007A52A3" w:rsidRPr="00214121">
        <w:rPr>
          <w:rFonts w:ascii="Arial" w:hAnsi="Arial"/>
        </w:rPr>
        <w:tab/>
        <w:t>apply its existing accounting policies to the relevant financial instruments in the comparative information and is e</w:t>
      </w:r>
      <w:r w:rsidR="002E7DC4">
        <w:rPr>
          <w:rFonts w:ascii="Arial" w:hAnsi="Arial"/>
        </w:rPr>
        <w:t>ncouraged to disclose this fact</w:t>
      </w:r>
    </w:p>
    <w:p w14:paraId="0C7E3AB6" w14:textId="77777777" w:rsidR="007A52A3" w:rsidRPr="00214121" w:rsidRDefault="007A52A3" w:rsidP="00214121">
      <w:pPr>
        <w:spacing w:line="360" w:lineRule="auto"/>
        <w:ind w:left="720" w:hanging="360"/>
        <w:rPr>
          <w:rFonts w:ascii="Arial" w:hAnsi="Arial"/>
        </w:rPr>
      </w:pPr>
    </w:p>
    <w:p w14:paraId="619F066C" w14:textId="43B96EF6" w:rsidR="007A52A3" w:rsidRPr="00214121" w:rsidRDefault="00281380" w:rsidP="00214121">
      <w:pPr>
        <w:spacing w:line="360" w:lineRule="auto"/>
        <w:ind w:left="720" w:hanging="360"/>
        <w:rPr>
          <w:rFonts w:ascii="Arial" w:hAnsi="Arial"/>
        </w:rPr>
      </w:pPr>
      <w:r>
        <w:rPr>
          <w:rFonts w:ascii="Arial" w:hAnsi="Arial"/>
        </w:rPr>
        <w:t>b.</w:t>
      </w:r>
      <w:r w:rsidR="007A52A3" w:rsidRPr="00214121">
        <w:rPr>
          <w:rFonts w:ascii="Arial" w:hAnsi="Arial"/>
        </w:rPr>
        <w:tab/>
        <w:t>disclose the accounting policies applied (in accordance with paragraph 1AC.3</w:t>
      </w:r>
      <w:r w:rsidR="002E7DC4">
        <w:rPr>
          <w:rFonts w:ascii="Arial" w:hAnsi="Arial"/>
        </w:rPr>
        <w:t>)</w:t>
      </w:r>
    </w:p>
    <w:p w14:paraId="2CC640D1" w14:textId="77777777" w:rsidR="007A52A3" w:rsidRPr="00214121" w:rsidRDefault="007A52A3" w:rsidP="00214121">
      <w:pPr>
        <w:spacing w:line="360" w:lineRule="auto"/>
        <w:ind w:left="720" w:hanging="360"/>
        <w:rPr>
          <w:rFonts w:ascii="Arial" w:hAnsi="Arial"/>
        </w:rPr>
      </w:pPr>
    </w:p>
    <w:p w14:paraId="4CB154C3" w14:textId="2850134D" w:rsidR="007A52A3" w:rsidRPr="00214121" w:rsidRDefault="00281380" w:rsidP="00214121">
      <w:pPr>
        <w:spacing w:line="360" w:lineRule="auto"/>
        <w:ind w:left="720" w:hanging="360"/>
        <w:rPr>
          <w:rFonts w:ascii="Arial" w:hAnsi="Arial"/>
        </w:rPr>
      </w:pPr>
      <w:r>
        <w:rPr>
          <w:rFonts w:ascii="Arial" w:hAnsi="Arial"/>
        </w:rPr>
        <w:t>c.</w:t>
      </w:r>
      <w:r w:rsidR="007A52A3" w:rsidRPr="00214121">
        <w:rPr>
          <w:rFonts w:ascii="Arial" w:hAnsi="Arial"/>
        </w:rPr>
        <w:tab/>
        <w:t xml:space="preserve">treat any adjustment between the statement of financial position at the comparative period’s reporting date and the statement of financial position at the start of the first reporting period that complies with </w:t>
      </w:r>
      <w:r w:rsidR="009F50BB">
        <w:rPr>
          <w:rFonts w:ascii="Arial" w:hAnsi="Arial"/>
        </w:rPr>
        <w:t>s</w:t>
      </w:r>
      <w:r w:rsidR="007A52A3" w:rsidRPr="00214121">
        <w:rPr>
          <w:rFonts w:ascii="Arial" w:hAnsi="Arial"/>
        </w:rPr>
        <w:t>ection 11 and 12 as an adjustment, in the current reporting period, to opening equity.</w:t>
      </w:r>
    </w:p>
    <w:p w14:paraId="4A0D9794" w14:textId="77777777" w:rsidR="007A52A3" w:rsidRPr="00214121" w:rsidRDefault="007A52A3" w:rsidP="00214121">
      <w:pPr>
        <w:spacing w:line="360" w:lineRule="auto"/>
        <w:ind w:left="360"/>
        <w:rPr>
          <w:rFonts w:ascii="Arial" w:hAnsi="Arial"/>
        </w:rPr>
      </w:pPr>
    </w:p>
    <w:p w14:paraId="067CE156" w14:textId="77777777" w:rsidR="007A52A3" w:rsidRPr="00214121" w:rsidRDefault="007A52A3" w:rsidP="00214121">
      <w:pPr>
        <w:pStyle w:val="Heading3"/>
        <w:keepLines/>
        <w:numPr>
          <w:ilvl w:val="0"/>
          <w:numId w:val="26"/>
        </w:numPr>
        <w:spacing w:before="40" w:after="0" w:line="360" w:lineRule="auto"/>
        <w:jc w:val="both"/>
        <w:rPr>
          <w:sz w:val="24"/>
          <w:szCs w:val="24"/>
        </w:rPr>
      </w:pPr>
      <w:r w:rsidRPr="00214121">
        <w:rPr>
          <w:sz w:val="24"/>
          <w:szCs w:val="24"/>
        </w:rPr>
        <w:lastRenderedPageBreak/>
        <w:t>Small entities – financing transactions involving related parties</w:t>
      </w:r>
    </w:p>
    <w:p w14:paraId="7FDD482D" w14:textId="18BE4ECD" w:rsidR="007A52A3" w:rsidRPr="00214121" w:rsidRDefault="007A52A3" w:rsidP="00214121">
      <w:pPr>
        <w:spacing w:line="360" w:lineRule="auto"/>
        <w:ind w:left="360"/>
        <w:rPr>
          <w:rFonts w:ascii="Arial" w:hAnsi="Arial"/>
        </w:rPr>
      </w:pPr>
      <w:r w:rsidRPr="00214121">
        <w:rPr>
          <w:rFonts w:ascii="Arial" w:hAnsi="Arial"/>
        </w:rPr>
        <w:t>A small entity that first adopts FRS 102 for an accounting period which starts before 1 January 2017 is not required to restate comparative information to comply with the requirements of paragraph 11.13 only insofar as they relate to financing transactions involving related parties.</w:t>
      </w:r>
      <w:r>
        <w:rPr>
          <w:rFonts w:ascii="Arial" w:hAnsi="Arial"/>
        </w:rPr>
        <w:t xml:space="preserve"> </w:t>
      </w:r>
    </w:p>
    <w:p w14:paraId="6726DF6E" w14:textId="77777777" w:rsidR="007A52A3" w:rsidRPr="00214121" w:rsidRDefault="007A52A3" w:rsidP="00214121">
      <w:pPr>
        <w:spacing w:line="360" w:lineRule="auto"/>
        <w:ind w:left="360"/>
        <w:rPr>
          <w:rFonts w:ascii="Arial" w:hAnsi="Arial"/>
        </w:rPr>
      </w:pPr>
    </w:p>
    <w:p w14:paraId="59566D2E" w14:textId="1FC4CA0F" w:rsidR="007A52A3" w:rsidRPr="00214121" w:rsidRDefault="007A52A3" w:rsidP="00214121">
      <w:pPr>
        <w:spacing w:line="360" w:lineRule="auto"/>
        <w:ind w:left="360"/>
        <w:rPr>
          <w:rFonts w:ascii="Arial" w:hAnsi="Arial"/>
        </w:rPr>
      </w:pPr>
      <w:r w:rsidRPr="00214121">
        <w:rPr>
          <w:rFonts w:ascii="Arial" w:hAnsi="Arial"/>
        </w:rPr>
        <w:t xml:space="preserve">A small entity that chooses to present comparative information which does not comply with the financing transaction requirements of </w:t>
      </w:r>
      <w:r w:rsidR="009F50BB">
        <w:rPr>
          <w:rFonts w:ascii="Arial" w:hAnsi="Arial"/>
        </w:rPr>
        <w:t>s</w:t>
      </w:r>
      <w:r w:rsidRPr="00214121">
        <w:rPr>
          <w:rFonts w:ascii="Arial" w:hAnsi="Arial"/>
        </w:rPr>
        <w:t>ection 11 in its first year of adoption must:</w:t>
      </w:r>
    </w:p>
    <w:p w14:paraId="63A75EF7" w14:textId="77777777" w:rsidR="007A52A3" w:rsidRPr="00214121" w:rsidRDefault="007A52A3" w:rsidP="00214121">
      <w:pPr>
        <w:spacing w:line="360" w:lineRule="auto"/>
        <w:ind w:left="360"/>
        <w:rPr>
          <w:rFonts w:ascii="Arial" w:hAnsi="Arial"/>
        </w:rPr>
      </w:pPr>
    </w:p>
    <w:p w14:paraId="26F32118" w14:textId="50739F41" w:rsidR="007A52A3" w:rsidRPr="00214121" w:rsidRDefault="00922F7A" w:rsidP="00214121">
      <w:pPr>
        <w:spacing w:line="360" w:lineRule="auto"/>
        <w:ind w:left="851" w:hanging="425"/>
        <w:rPr>
          <w:rFonts w:ascii="Arial" w:hAnsi="Arial"/>
        </w:rPr>
      </w:pPr>
      <w:r>
        <w:rPr>
          <w:rFonts w:ascii="Arial" w:hAnsi="Arial"/>
        </w:rPr>
        <w:t>a.</w:t>
      </w:r>
      <w:r w:rsidR="007A52A3" w:rsidRPr="00214121">
        <w:rPr>
          <w:rFonts w:ascii="Arial" w:hAnsi="Arial"/>
        </w:rPr>
        <w:tab/>
        <w:t>apply its existing accounting policies to the relevant financial instruments in the comparative information and is e</w:t>
      </w:r>
      <w:r>
        <w:rPr>
          <w:rFonts w:ascii="Arial" w:hAnsi="Arial"/>
        </w:rPr>
        <w:t>ncouraged to disclose this fact</w:t>
      </w:r>
    </w:p>
    <w:p w14:paraId="584956C1" w14:textId="77777777" w:rsidR="007A52A3" w:rsidRPr="00214121" w:rsidRDefault="007A52A3" w:rsidP="00214121">
      <w:pPr>
        <w:spacing w:line="360" w:lineRule="auto"/>
        <w:ind w:left="851" w:hanging="425"/>
        <w:rPr>
          <w:rFonts w:ascii="Arial" w:hAnsi="Arial"/>
        </w:rPr>
      </w:pPr>
    </w:p>
    <w:p w14:paraId="10921D6E" w14:textId="48EF0F2A" w:rsidR="007A52A3" w:rsidRPr="00214121" w:rsidRDefault="00922F7A" w:rsidP="00214121">
      <w:pPr>
        <w:spacing w:line="360" w:lineRule="auto"/>
        <w:ind w:left="851" w:hanging="425"/>
        <w:rPr>
          <w:rFonts w:ascii="Arial" w:hAnsi="Arial"/>
        </w:rPr>
      </w:pPr>
      <w:r>
        <w:rPr>
          <w:rFonts w:ascii="Arial" w:hAnsi="Arial"/>
        </w:rPr>
        <w:t xml:space="preserve">b. </w:t>
      </w:r>
      <w:r w:rsidR="007A52A3" w:rsidRPr="00214121">
        <w:rPr>
          <w:rFonts w:ascii="Arial" w:hAnsi="Arial"/>
        </w:rPr>
        <w:tab/>
        <w:t>disclose the accounting policies applied (in accordance with paragraph 1AC.3</w:t>
      </w:r>
      <w:r>
        <w:rPr>
          <w:rFonts w:ascii="Arial" w:hAnsi="Arial"/>
        </w:rPr>
        <w:t>)</w:t>
      </w:r>
    </w:p>
    <w:p w14:paraId="507FCD57" w14:textId="77777777" w:rsidR="007A52A3" w:rsidRPr="00214121" w:rsidRDefault="007A52A3" w:rsidP="00214121">
      <w:pPr>
        <w:spacing w:line="360" w:lineRule="auto"/>
        <w:ind w:left="851" w:hanging="425"/>
        <w:rPr>
          <w:rFonts w:ascii="Arial" w:hAnsi="Arial"/>
        </w:rPr>
      </w:pPr>
    </w:p>
    <w:p w14:paraId="51F56E47" w14:textId="54B4904F" w:rsidR="007A52A3" w:rsidRPr="00214121" w:rsidRDefault="00922F7A" w:rsidP="00214121">
      <w:pPr>
        <w:spacing w:line="360" w:lineRule="auto"/>
        <w:ind w:left="851" w:hanging="425"/>
        <w:rPr>
          <w:rFonts w:ascii="Arial" w:hAnsi="Arial"/>
        </w:rPr>
      </w:pPr>
      <w:r>
        <w:rPr>
          <w:rFonts w:ascii="Arial" w:hAnsi="Arial"/>
        </w:rPr>
        <w:t>c</w:t>
      </w:r>
      <w:r w:rsidR="00481F50">
        <w:rPr>
          <w:rFonts w:ascii="Arial" w:hAnsi="Arial"/>
        </w:rPr>
        <w:t>.</w:t>
      </w:r>
      <w:r w:rsidR="007A52A3" w:rsidRPr="00214121">
        <w:rPr>
          <w:rFonts w:ascii="Arial" w:hAnsi="Arial"/>
        </w:rPr>
        <w:tab/>
        <w:t>treat any adjustment between the statement of financial position at the comparative period’s reporting date and the statement of financial position at the start of the first reporting period that complies with paragraph 11.13 as an adjustment, in the current reporting period, to opening equity.</w:t>
      </w:r>
      <w:r w:rsidR="007A52A3">
        <w:rPr>
          <w:rFonts w:ascii="Arial" w:hAnsi="Arial"/>
        </w:rPr>
        <w:t xml:space="preserve"> </w:t>
      </w:r>
      <w:r w:rsidR="007A52A3" w:rsidRPr="00214121">
        <w:rPr>
          <w:rFonts w:ascii="Arial" w:hAnsi="Arial"/>
        </w:rPr>
        <w:t>The present value of the financial asset or financial liability at the start of the first reporting period that complies with FRS 102 may be determined on the basis of the facts and circumstances</w:t>
      </w:r>
      <w:r w:rsidR="00481F50">
        <w:rPr>
          <w:rFonts w:ascii="Arial" w:hAnsi="Arial"/>
        </w:rPr>
        <w:t>,</w:t>
      </w:r>
      <w:r w:rsidR="007A52A3" w:rsidRPr="00214121">
        <w:rPr>
          <w:rFonts w:ascii="Arial" w:hAnsi="Arial"/>
        </w:rPr>
        <w:t xml:space="preserve"> which exist at that date, rather than the date on which the arrangement was entered into.</w:t>
      </w:r>
    </w:p>
    <w:p w14:paraId="4F94744E" w14:textId="77777777" w:rsidR="007A52A3" w:rsidRPr="00214121" w:rsidRDefault="007A52A3" w:rsidP="00214121">
      <w:pPr>
        <w:spacing w:line="360" w:lineRule="auto"/>
        <w:ind w:left="720" w:hanging="360"/>
        <w:rPr>
          <w:rFonts w:ascii="Arial" w:hAnsi="Arial"/>
        </w:rPr>
      </w:pPr>
    </w:p>
    <w:p w14:paraId="3B19AA16" w14:textId="60C4D57B" w:rsidR="007A52A3" w:rsidRPr="00214121" w:rsidRDefault="007A52A3" w:rsidP="00214121">
      <w:pPr>
        <w:spacing w:line="360" w:lineRule="auto"/>
        <w:rPr>
          <w:rFonts w:ascii="Arial" w:hAnsi="Arial"/>
          <w:b/>
          <w:i/>
        </w:rPr>
      </w:pPr>
      <w:r w:rsidRPr="00214121">
        <w:rPr>
          <w:rFonts w:ascii="Arial" w:hAnsi="Arial"/>
          <w:b/>
          <w:i/>
        </w:rPr>
        <w:t xml:space="preserve">Example 2: </w:t>
      </w:r>
      <w:r w:rsidR="0075242E">
        <w:rPr>
          <w:rFonts w:ascii="Arial" w:hAnsi="Arial"/>
          <w:b/>
          <w:i/>
        </w:rPr>
        <w:t>r</w:t>
      </w:r>
      <w:r w:rsidRPr="00214121">
        <w:rPr>
          <w:rFonts w:ascii="Arial" w:hAnsi="Arial"/>
          <w:b/>
          <w:i/>
        </w:rPr>
        <w:t>evaluation as deemed cost</w:t>
      </w:r>
    </w:p>
    <w:p w14:paraId="629EDF96" w14:textId="7AE2A068" w:rsidR="007A52A3" w:rsidRPr="00214121" w:rsidRDefault="007A52A3" w:rsidP="00214121">
      <w:pPr>
        <w:spacing w:line="360" w:lineRule="auto"/>
        <w:rPr>
          <w:rFonts w:ascii="Arial" w:hAnsi="Arial"/>
        </w:rPr>
      </w:pPr>
      <w:r w:rsidRPr="00214121">
        <w:rPr>
          <w:rFonts w:ascii="Arial" w:hAnsi="Arial"/>
        </w:rPr>
        <w:t>Under previous UK GAAP, Company A Ltd always reported its freehold buildings using the revaluation model and obtained updated valuations every five years</w:t>
      </w:r>
      <w:r w:rsidR="001961D9">
        <w:rPr>
          <w:rFonts w:ascii="Arial" w:hAnsi="Arial"/>
        </w:rPr>
        <w:t>,</w:t>
      </w:r>
      <w:r w:rsidRPr="00214121">
        <w:rPr>
          <w:rFonts w:ascii="Arial" w:hAnsi="Arial"/>
        </w:rPr>
        <w:t xml:space="preserve"> as well as valuations in the intervening years where evidence suggested </w:t>
      </w:r>
      <w:r w:rsidR="001961D9">
        <w:rPr>
          <w:rFonts w:ascii="Arial" w:hAnsi="Arial"/>
        </w:rPr>
        <w:t xml:space="preserve">that </w:t>
      </w:r>
      <w:r w:rsidRPr="00214121">
        <w:rPr>
          <w:rFonts w:ascii="Arial" w:hAnsi="Arial"/>
        </w:rPr>
        <w:t>there had been a material change in value.</w:t>
      </w:r>
    </w:p>
    <w:p w14:paraId="03F47648" w14:textId="77777777" w:rsidR="007A52A3" w:rsidRPr="00214121" w:rsidRDefault="007A52A3" w:rsidP="00214121">
      <w:pPr>
        <w:spacing w:line="360" w:lineRule="auto"/>
        <w:rPr>
          <w:rFonts w:ascii="Arial" w:hAnsi="Arial"/>
        </w:rPr>
      </w:pPr>
    </w:p>
    <w:p w14:paraId="546A5423" w14:textId="5498D7B0" w:rsidR="007A52A3" w:rsidRPr="00214121" w:rsidRDefault="007A52A3" w:rsidP="00214121">
      <w:pPr>
        <w:spacing w:line="360" w:lineRule="auto"/>
        <w:rPr>
          <w:rFonts w:ascii="Arial" w:hAnsi="Arial"/>
        </w:rPr>
      </w:pPr>
      <w:r w:rsidRPr="00214121">
        <w:rPr>
          <w:rFonts w:ascii="Arial" w:hAnsi="Arial"/>
        </w:rPr>
        <w:t>The board of directors have decided that the use of the revaluation model is no longer appropriate for the business and have enquired as to whether they can measure the freehold buildings using the historic cost model.</w:t>
      </w:r>
      <w:r>
        <w:rPr>
          <w:rFonts w:ascii="Arial" w:hAnsi="Arial"/>
        </w:rPr>
        <w:t xml:space="preserve"> </w:t>
      </w:r>
    </w:p>
    <w:p w14:paraId="0E2AB476" w14:textId="77777777" w:rsidR="007A52A3" w:rsidRPr="00214121" w:rsidRDefault="007A52A3" w:rsidP="00214121">
      <w:pPr>
        <w:spacing w:line="360" w:lineRule="auto"/>
        <w:rPr>
          <w:rFonts w:ascii="Arial" w:hAnsi="Arial"/>
        </w:rPr>
      </w:pPr>
    </w:p>
    <w:p w14:paraId="1759BC01" w14:textId="163AD6B3" w:rsidR="007A52A3" w:rsidRPr="00214121" w:rsidRDefault="007A52A3" w:rsidP="00214121">
      <w:pPr>
        <w:spacing w:line="360" w:lineRule="auto"/>
        <w:rPr>
          <w:rFonts w:ascii="Arial" w:hAnsi="Arial"/>
        </w:rPr>
      </w:pPr>
      <w:r w:rsidRPr="00214121">
        <w:rPr>
          <w:rFonts w:ascii="Arial" w:hAnsi="Arial"/>
        </w:rPr>
        <w:t xml:space="preserve">Under previous UK GAAP, a change from the depreciated historic cost model to the revaluation model would have been classed as a change in accounting policy (as it would </w:t>
      </w:r>
      <w:r w:rsidRPr="00214121">
        <w:rPr>
          <w:rFonts w:ascii="Arial" w:hAnsi="Arial"/>
        </w:rPr>
        <w:lastRenderedPageBreak/>
        <w:t>be under FRS 102 principles).</w:t>
      </w:r>
      <w:r>
        <w:rPr>
          <w:rFonts w:ascii="Arial" w:hAnsi="Arial"/>
        </w:rPr>
        <w:t xml:space="preserve"> </w:t>
      </w:r>
      <w:r w:rsidRPr="00214121">
        <w:rPr>
          <w:rFonts w:ascii="Arial" w:hAnsi="Arial"/>
        </w:rPr>
        <w:t>An accounting policy is changed by an entity so that the financial statements give more relevant and reliable information and it is generally accepted that regular valuations are more reliable than historic cost.</w:t>
      </w:r>
      <w:r>
        <w:rPr>
          <w:rFonts w:ascii="Arial" w:hAnsi="Arial"/>
        </w:rPr>
        <w:t xml:space="preserve"> </w:t>
      </w:r>
      <w:r w:rsidRPr="00214121">
        <w:rPr>
          <w:rFonts w:ascii="Arial" w:hAnsi="Arial"/>
        </w:rPr>
        <w:t xml:space="preserve">In view of this principle, it is inherently difficult to switch back from the revaluation model to the historic cost model because an entity would struggle to justify how historic cost provides more relevant and reliable information over up-to-date valuations. </w:t>
      </w:r>
    </w:p>
    <w:p w14:paraId="688E417C" w14:textId="77777777" w:rsidR="007A52A3" w:rsidRPr="00214121" w:rsidRDefault="007A52A3" w:rsidP="00214121">
      <w:pPr>
        <w:spacing w:line="360" w:lineRule="auto"/>
        <w:rPr>
          <w:rFonts w:ascii="Arial" w:hAnsi="Arial"/>
        </w:rPr>
      </w:pPr>
    </w:p>
    <w:p w14:paraId="34732B0F" w14:textId="0E15924A" w:rsidR="007A52A3" w:rsidRPr="00214121" w:rsidRDefault="007A52A3" w:rsidP="00214121">
      <w:pPr>
        <w:spacing w:line="360" w:lineRule="auto"/>
        <w:rPr>
          <w:rFonts w:ascii="Arial" w:hAnsi="Arial"/>
        </w:rPr>
      </w:pPr>
      <w:r w:rsidRPr="00214121">
        <w:rPr>
          <w:rFonts w:ascii="Arial" w:hAnsi="Arial"/>
        </w:rPr>
        <w:t>However, in Company A’s situation, the company is transitioning to a whole new financial reporting framework and hence it is possible to use a revalued amount as deemed cost (as per paragraph 35.10(d))</w:t>
      </w:r>
      <w:r w:rsidR="00242F7D">
        <w:rPr>
          <w:rFonts w:ascii="Arial" w:hAnsi="Arial"/>
        </w:rPr>
        <w:t>,</w:t>
      </w:r>
      <w:r w:rsidRPr="00214121">
        <w:rPr>
          <w:rFonts w:ascii="Arial" w:hAnsi="Arial"/>
        </w:rPr>
        <w:t xml:space="preserve"> provided </w:t>
      </w:r>
      <w:r w:rsidR="00242F7D">
        <w:rPr>
          <w:rFonts w:ascii="Arial" w:hAnsi="Arial"/>
        </w:rPr>
        <w:t xml:space="preserve">that </w:t>
      </w:r>
      <w:r w:rsidRPr="00214121">
        <w:rPr>
          <w:rFonts w:ascii="Arial" w:hAnsi="Arial"/>
        </w:rPr>
        <w:t>the date of the valuation is either at, or before, the date of transition.</w:t>
      </w:r>
      <w:r>
        <w:rPr>
          <w:rFonts w:ascii="Arial" w:hAnsi="Arial"/>
        </w:rPr>
        <w:t xml:space="preserve"> </w:t>
      </w:r>
      <w:r w:rsidRPr="00214121">
        <w:rPr>
          <w:rFonts w:ascii="Arial" w:hAnsi="Arial"/>
        </w:rPr>
        <w:t>GAAP valuations cannot be obtained after the date of transition and then be used as deemed cost.</w:t>
      </w:r>
      <w:r>
        <w:rPr>
          <w:rFonts w:ascii="Arial" w:hAnsi="Arial"/>
        </w:rPr>
        <w:t xml:space="preserve"> </w:t>
      </w:r>
      <w:r w:rsidRPr="00214121">
        <w:rPr>
          <w:rFonts w:ascii="Arial" w:hAnsi="Arial"/>
        </w:rPr>
        <w:t xml:space="preserve">Advance planning is advisable where an entity wishes to take advantage of revaluations as deemed cost to ensure an appropriate valuation is obtained. </w:t>
      </w:r>
    </w:p>
    <w:p w14:paraId="41479F56" w14:textId="77777777" w:rsidR="007A52A3" w:rsidRPr="00214121" w:rsidRDefault="007A52A3" w:rsidP="00214121">
      <w:pPr>
        <w:spacing w:line="360" w:lineRule="auto"/>
        <w:rPr>
          <w:rFonts w:ascii="Arial" w:hAnsi="Arial"/>
        </w:rPr>
      </w:pPr>
    </w:p>
    <w:p w14:paraId="09D12363" w14:textId="10C8AF9A" w:rsidR="007A52A3" w:rsidRPr="00214121" w:rsidRDefault="007A52A3" w:rsidP="00214121">
      <w:pPr>
        <w:spacing w:line="360" w:lineRule="auto"/>
        <w:rPr>
          <w:rFonts w:ascii="Arial" w:hAnsi="Arial"/>
          <w:b/>
          <w:i/>
        </w:rPr>
      </w:pPr>
      <w:r w:rsidRPr="00214121">
        <w:rPr>
          <w:rFonts w:ascii="Arial" w:hAnsi="Arial"/>
          <w:b/>
          <w:i/>
        </w:rPr>
        <w:t xml:space="preserve">Example 3: </w:t>
      </w:r>
      <w:r w:rsidR="00DC1097">
        <w:rPr>
          <w:rFonts w:ascii="Arial" w:hAnsi="Arial"/>
          <w:b/>
          <w:i/>
        </w:rPr>
        <w:t>l</w:t>
      </w:r>
      <w:r w:rsidRPr="00214121">
        <w:rPr>
          <w:rFonts w:ascii="Arial" w:hAnsi="Arial"/>
          <w:b/>
          <w:i/>
        </w:rPr>
        <w:t>ease incentive restatement</w:t>
      </w:r>
    </w:p>
    <w:p w14:paraId="37475186" w14:textId="68AE8833" w:rsidR="007A52A3" w:rsidRPr="00214121" w:rsidRDefault="007A52A3" w:rsidP="00214121">
      <w:pPr>
        <w:spacing w:line="360" w:lineRule="auto"/>
        <w:rPr>
          <w:rFonts w:ascii="Arial" w:hAnsi="Arial"/>
        </w:rPr>
      </w:pPr>
      <w:r w:rsidRPr="00214121">
        <w:rPr>
          <w:rFonts w:ascii="Arial" w:hAnsi="Arial"/>
        </w:rPr>
        <w:t xml:space="preserve">Company B Ltd enters into a </w:t>
      </w:r>
      <w:r w:rsidR="00EF34F9">
        <w:rPr>
          <w:rFonts w:ascii="Arial" w:hAnsi="Arial"/>
        </w:rPr>
        <w:t>10</w:t>
      </w:r>
      <w:r w:rsidRPr="00214121">
        <w:rPr>
          <w:rFonts w:ascii="Arial" w:hAnsi="Arial"/>
        </w:rPr>
        <w:t>-year lease to occupy a commercial building on 1 January 2012.</w:t>
      </w:r>
      <w:r>
        <w:rPr>
          <w:rFonts w:ascii="Arial" w:hAnsi="Arial"/>
        </w:rPr>
        <w:t xml:space="preserve"> </w:t>
      </w:r>
      <w:r w:rsidRPr="00214121">
        <w:rPr>
          <w:rFonts w:ascii="Arial" w:hAnsi="Arial"/>
        </w:rPr>
        <w:t>Annual rentals amount to £100,000 and the landlord has agreed to a one-year rent-free period.</w:t>
      </w:r>
      <w:r>
        <w:rPr>
          <w:rFonts w:ascii="Arial" w:hAnsi="Arial"/>
        </w:rPr>
        <w:t xml:space="preserve"> </w:t>
      </w:r>
      <w:r w:rsidRPr="00214121">
        <w:rPr>
          <w:rFonts w:ascii="Arial" w:hAnsi="Arial"/>
        </w:rPr>
        <w:t>The terms of the lease provide for a break-clause at the end of year five, after which rental payments are to revert to market rate.</w:t>
      </w:r>
      <w:r>
        <w:rPr>
          <w:rFonts w:ascii="Arial" w:hAnsi="Arial"/>
        </w:rPr>
        <w:t xml:space="preserve"> </w:t>
      </w:r>
      <w:r w:rsidRPr="00214121">
        <w:rPr>
          <w:rFonts w:ascii="Arial" w:hAnsi="Arial"/>
        </w:rPr>
        <w:t>Company B has an accounting reference date of 31 December and its date of transition is 1 January 2015.</w:t>
      </w:r>
    </w:p>
    <w:p w14:paraId="460F633C" w14:textId="77777777" w:rsidR="007A52A3" w:rsidRPr="00214121" w:rsidRDefault="007A52A3" w:rsidP="00214121">
      <w:pPr>
        <w:spacing w:line="360" w:lineRule="auto"/>
        <w:rPr>
          <w:rFonts w:ascii="Arial" w:hAnsi="Arial"/>
        </w:rPr>
      </w:pPr>
    </w:p>
    <w:p w14:paraId="6E043409" w14:textId="15E31155" w:rsidR="007A52A3" w:rsidRPr="00214121" w:rsidRDefault="007A52A3" w:rsidP="00214121">
      <w:pPr>
        <w:spacing w:line="360" w:lineRule="auto"/>
        <w:rPr>
          <w:rFonts w:ascii="Arial" w:hAnsi="Arial"/>
        </w:rPr>
      </w:pPr>
      <w:r w:rsidRPr="00214121">
        <w:rPr>
          <w:rFonts w:ascii="Arial" w:hAnsi="Arial"/>
        </w:rPr>
        <w:t>Under previous UK GAAP the lease incentive would be amortised up to the point at which lease rentals revert to market rate (</w:t>
      </w:r>
      <w:r w:rsidR="00D223FD">
        <w:rPr>
          <w:rFonts w:ascii="Arial" w:hAnsi="Arial"/>
        </w:rPr>
        <w:t>ie</w:t>
      </w:r>
      <w:r w:rsidRPr="00214121">
        <w:rPr>
          <w:rFonts w:ascii="Arial" w:hAnsi="Arial"/>
        </w:rPr>
        <w:t xml:space="preserve"> from years six to </w:t>
      </w:r>
      <w:r w:rsidR="00D223FD">
        <w:rPr>
          <w:rFonts w:ascii="Arial" w:hAnsi="Arial"/>
        </w:rPr>
        <w:t>10</w:t>
      </w:r>
      <w:r w:rsidRPr="00214121">
        <w:rPr>
          <w:rFonts w:ascii="Arial" w:hAnsi="Arial"/>
        </w:rPr>
        <w:t>), hence the lease profile would be as follows:</w:t>
      </w:r>
    </w:p>
    <w:p w14:paraId="324D3215" w14:textId="77777777" w:rsidR="007A52A3" w:rsidRPr="00214121" w:rsidRDefault="007A52A3" w:rsidP="00214121">
      <w:pPr>
        <w:spacing w:line="360" w:lineRule="auto"/>
        <w:rPr>
          <w:rFonts w:ascii="Arial" w:hAnsi="Arial"/>
        </w:rPr>
      </w:pPr>
    </w:p>
    <w:tbl>
      <w:tblPr>
        <w:tblW w:w="7196" w:type="dxa"/>
        <w:tblLayout w:type="fixed"/>
        <w:tblLook w:val="04A0" w:firstRow="1" w:lastRow="0" w:firstColumn="1" w:lastColumn="0" w:noHBand="0" w:noVBand="1"/>
      </w:tblPr>
      <w:tblGrid>
        <w:gridCol w:w="1526"/>
        <w:gridCol w:w="1984"/>
        <w:gridCol w:w="1985"/>
        <w:gridCol w:w="1701"/>
      </w:tblGrid>
      <w:tr w:rsidR="00D223FD" w:rsidRPr="007A52A3" w14:paraId="3329D79E" w14:textId="77777777" w:rsidTr="00214121">
        <w:trPr>
          <w:trHeight w:val="300"/>
        </w:trPr>
        <w:tc>
          <w:tcPr>
            <w:tcW w:w="1526" w:type="dxa"/>
            <w:shd w:val="clear" w:color="auto" w:fill="auto"/>
            <w:noWrap/>
            <w:vAlign w:val="bottom"/>
            <w:hideMark/>
          </w:tcPr>
          <w:p w14:paraId="5687305C" w14:textId="77777777" w:rsidR="007A52A3" w:rsidRPr="00214121" w:rsidRDefault="007A52A3" w:rsidP="00214121">
            <w:pPr>
              <w:spacing w:line="360" w:lineRule="auto"/>
              <w:rPr>
                <w:rFonts w:ascii="Arial" w:hAnsi="Arial"/>
                <w:lang w:val="en-US"/>
              </w:rPr>
            </w:pPr>
          </w:p>
        </w:tc>
        <w:tc>
          <w:tcPr>
            <w:tcW w:w="1984" w:type="dxa"/>
            <w:shd w:val="clear" w:color="auto" w:fill="auto"/>
            <w:noWrap/>
            <w:vAlign w:val="bottom"/>
            <w:hideMark/>
          </w:tcPr>
          <w:p w14:paraId="1B57265F" w14:textId="77777777" w:rsidR="007A52A3" w:rsidRPr="00214121" w:rsidRDefault="007A52A3" w:rsidP="00214121">
            <w:pPr>
              <w:spacing w:line="360" w:lineRule="auto"/>
              <w:jc w:val="right"/>
              <w:rPr>
                <w:rFonts w:ascii="Arial" w:hAnsi="Arial"/>
                <w:b/>
                <w:bCs/>
                <w:color w:val="000000"/>
                <w:lang w:val="en-US"/>
              </w:rPr>
            </w:pPr>
            <w:r w:rsidRPr="00214121">
              <w:rPr>
                <w:rFonts w:ascii="Arial" w:hAnsi="Arial"/>
                <w:b/>
                <w:bCs/>
                <w:color w:val="000000"/>
                <w:lang w:val="en-US"/>
              </w:rPr>
              <w:t>Paid</w:t>
            </w:r>
          </w:p>
        </w:tc>
        <w:tc>
          <w:tcPr>
            <w:tcW w:w="1985" w:type="dxa"/>
            <w:shd w:val="clear" w:color="auto" w:fill="auto"/>
            <w:noWrap/>
            <w:vAlign w:val="bottom"/>
            <w:hideMark/>
          </w:tcPr>
          <w:p w14:paraId="7967C208" w14:textId="77777777" w:rsidR="007A52A3" w:rsidRPr="00214121" w:rsidRDefault="007A52A3" w:rsidP="00214121">
            <w:pPr>
              <w:spacing w:line="360" w:lineRule="auto"/>
              <w:jc w:val="right"/>
              <w:rPr>
                <w:rFonts w:ascii="Arial" w:hAnsi="Arial"/>
                <w:b/>
                <w:bCs/>
                <w:color w:val="000000"/>
                <w:lang w:val="en-US"/>
              </w:rPr>
            </w:pPr>
            <w:r w:rsidRPr="00214121">
              <w:rPr>
                <w:rFonts w:ascii="Arial" w:hAnsi="Arial"/>
                <w:b/>
                <w:bCs/>
                <w:color w:val="000000"/>
                <w:lang w:val="en-US"/>
              </w:rPr>
              <w:t>Charge to P&amp;L</w:t>
            </w:r>
          </w:p>
        </w:tc>
        <w:tc>
          <w:tcPr>
            <w:tcW w:w="1701" w:type="dxa"/>
            <w:shd w:val="clear" w:color="auto" w:fill="auto"/>
            <w:noWrap/>
            <w:vAlign w:val="bottom"/>
            <w:hideMark/>
          </w:tcPr>
          <w:p w14:paraId="1C8B9D9A" w14:textId="77777777" w:rsidR="007A52A3" w:rsidRPr="00214121" w:rsidRDefault="007A52A3" w:rsidP="00214121">
            <w:pPr>
              <w:spacing w:line="360" w:lineRule="auto"/>
              <w:jc w:val="right"/>
              <w:rPr>
                <w:rFonts w:ascii="Arial" w:hAnsi="Arial"/>
                <w:b/>
                <w:bCs/>
                <w:color w:val="000000"/>
                <w:lang w:val="en-US"/>
              </w:rPr>
            </w:pPr>
            <w:r w:rsidRPr="00214121">
              <w:rPr>
                <w:rFonts w:ascii="Arial" w:hAnsi="Arial"/>
                <w:b/>
                <w:bCs/>
                <w:color w:val="000000"/>
                <w:lang w:val="en-US"/>
              </w:rPr>
              <w:t>Balance c/f</w:t>
            </w:r>
          </w:p>
        </w:tc>
      </w:tr>
      <w:tr w:rsidR="00D223FD" w:rsidRPr="007A52A3" w14:paraId="2BE25002" w14:textId="77777777" w:rsidTr="00214121">
        <w:trPr>
          <w:trHeight w:val="300"/>
        </w:trPr>
        <w:tc>
          <w:tcPr>
            <w:tcW w:w="1526" w:type="dxa"/>
            <w:shd w:val="clear" w:color="auto" w:fill="auto"/>
            <w:noWrap/>
            <w:vAlign w:val="bottom"/>
            <w:hideMark/>
          </w:tcPr>
          <w:p w14:paraId="6741847D" w14:textId="3DC48719" w:rsidR="007A52A3" w:rsidRPr="00214121" w:rsidRDefault="007A52A3" w:rsidP="00214121">
            <w:pPr>
              <w:spacing w:line="360" w:lineRule="auto"/>
              <w:rPr>
                <w:rFonts w:ascii="Arial" w:hAnsi="Arial"/>
                <w:b/>
                <w:bCs/>
                <w:color w:val="000000"/>
                <w:lang w:val="en-US"/>
              </w:rPr>
            </w:pPr>
            <w:r w:rsidRPr="00214121">
              <w:rPr>
                <w:rFonts w:ascii="Arial" w:hAnsi="Arial"/>
                <w:b/>
                <w:bCs/>
                <w:color w:val="000000"/>
                <w:lang w:val="en-US"/>
              </w:rPr>
              <w:t>Year</w:t>
            </w:r>
            <w:r w:rsidR="00D223FD">
              <w:rPr>
                <w:rFonts w:ascii="Arial" w:hAnsi="Arial"/>
                <w:b/>
                <w:bCs/>
                <w:color w:val="000000"/>
                <w:lang w:val="en-US"/>
              </w:rPr>
              <w:t xml:space="preserve"> </w:t>
            </w:r>
            <w:r w:rsidRPr="00214121">
              <w:rPr>
                <w:rFonts w:ascii="Arial" w:hAnsi="Arial"/>
                <w:b/>
                <w:bCs/>
                <w:color w:val="000000"/>
                <w:lang w:val="en-US"/>
              </w:rPr>
              <w:t>end</w:t>
            </w:r>
          </w:p>
        </w:tc>
        <w:tc>
          <w:tcPr>
            <w:tcW w:w="1984" w:type="dxa"/>
            <w:shd w:val="clear" w:color="auto" w:fill="auto"/>
            <w:noWrap/>
            <w:vAlign w:val="bottom"/>
            <w:hideMark/>
          </w:tcPr>
          <w:p w14:paraId="5784A32C" w14:textId="77777777" w:rsidR="007A52A3" w:rsidRPr="00214121" w:rsidRDefault="007A52A3" w:rsidP="00214121">
            <w:pPr>
              <w:spacing w:line="360" w:lineRule="auto"/>
              <w:jc w:val="right"/>
              <w:rPr>
                <w:rFonts w:ascii="Arial" w:hAnsi="Arial"/>
                <w:b/>
                <w:bCs/>
                <w:color w:val="000000"/>
                <w:lang w:val="en-US"/>
              </w:rPr>
            </w:pPr>
            <w:r w:rsidRPr="00214121">
              <w:rPr>
                <w:rFonts w:ascii="Arial" w:hAnsi="Arial"/>
                <w:b/>
                <w:bCs/>
                <w:color w:val="000000"/>
                <w:lang w:val="en-US"/>
              </w:rPr>
              <w:t>£'000</w:t>
            </w:r>
          </w:p>
        </w:tc>
        <w:tc>
          <w:tcPr>
            <w:tcW w:w="1985" w:type="dxa"/>
            <w:shd w:val="clear" w:color="auto" w:fill="auto"/>
            <w:noWrap/>
            <w:vAlign w:val="bottom"/>
            <w:hideMark/>
          </w:tcPr>
          <w:p w14:paraId="1674C12E" w14:textId="77777777" w:rsidR="007A52A3" w:rsidRPr="00214121" w:rsidRDefault="007A52A3" w:rsidP="00214121">
            <w:pPr>
              <w:spacing w:line="360" w:lineRule="auto"/>
              <w:jc w:val="right"/>
              <w:rPr>
                <w:rFonts w:ascii="Arial" w:hAnsi="Arial"/>
                <w:b/>
                <w:bCs/>
                <w:color w:val="000000"/>
                <w:lang w:val="en-US"/>
              </w:rPr>
            </w:pPr>
            <w:r w:rsidRPr="00214121">
              <w:rPr>
                <w:rFonts w:ascii="Arial" w:hAnsi="Arial"/>
                <w:b/>
                <w:bCs/>
                <w:color w:val="000000"/>
                <w:lang w:val="en-US"/>
              </w:rPr>
              <w:t>£'000</w:t>
            </w:r>
          </w:p>
        </w:tc>
        <w:tc>
          <w:tcPr>
            <w:tcW w:w="1701" w:type="dxa"/>
            <w:shd w:val="clear" w:color="auto" w:fill="auto"/>
            <w:noWrap/>
            <w:vAlign w:val="bottom"/>
            <w:hideMark/>
          </w:tcPr>
          <w:p w14:paraId="1823AE4C" w14:textId="77777777" w:rsidR="007A52A3" w:rsidRPr="00214121" w:rsidRDefault="007A52A3" w:rsidP="00214121">
            <w:pPr>
              <w:spacing w:line="360" w:lineRule="auto"/>
              <w:jc w:val="right"/>
              <w:rPr>
                <w:rFonts w:ascii="Arial" w:hAnsi="Arial"/>
                <w:b/>
                <w:bCs/>
                <w:color w:val="000000"/>
                <w:lang w:val="en-US"/>
              </w:rPr>
            </w:pPr>
            <w:r w:rsidRPr="00214121">
              <w:rPr>
                <w:rFonts w:ascii="Arial" w:hAnsi="Arial"/>
                <w:b/>
                <w:bCs/>
                <w:color w:val="000000"/>
                <w:lang w:val="en-US"/>
              </w:rPr>
              <w:t>£'000</w:t>
            </w:r>
          </w:p>
        </w:tc>
      </w:tr>
      <w:tr w:rsidR="00D223FD" w:rsidRPr="007A52A3" w14:paraId="3101ABB9" w14:textId="77777777" w:rsidTr="00214121">
        <w:trPr>
          <w:trHeight w:val="300"/>
        </w:trPr>
        <w:tc>
          <w:tcPr>
            <w:tcW w:w="1526" w:type="dxa"/>
            <w:shd w:val="clear" w:color="auto" w:fill="auto"/>
            <w:noWrap/>
            <w:vAlign w:val="bottom"/>
            <w:hideMark/>
          </w:tcPr>
          <w:p w14:paraId="2424319F"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31.12.2012</w:t>
            </w:r>
          </w:p>
        </w:tc>
        <w:tc>
          <w:tcPr>
            <w:tcW w:w="1984" w:type="dxa"/>
            <w:shd w:val="clear" w:color="auto" w:fill="auto"/>
            <w:noWrap/>
            <w:vAlign w:val="bottom"/>
            <w:hideMark/>
          </w:tcPr>
          <w:p w14:paraId="1B9072E3"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w:t>
            </w:r>
          </w:p>
        </w:tc>
        <w:tc>
          <w:tcPr>
            <w:tcW w:w="1985" w:type="dxa"/>
            <w:shd w:val="clear" w:color="auto" w:fill="auto"/>
            <w:noWrap/>
            <w:vAlign w:val="bottom"/>
            <w:hideMark/>
          </w:tcPr>
          <w:p w14:paraId="0F9424F1"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80</w:t>
            </w:r>
          </w:p>
        </w:tc>
        <w:tc>
          <w:tcPr>
            <w:tcW w:w="1701" w:type="dxa"/>
            <w:shd w:val="clear" w:color="auto" w:fill="auto"/>
            <w:noWrap/>
            <w:vAlign w:val="bottom"/>
            <w:hideMark/>
          </w:tcPr>
          <w:p w14:paraId="4159E70D"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80</w:t>
            </w:r>
          </w:p>
        </w:tc>
      </w:tr>
      <w:tr w:rsidR="00D223FD" w:rsidRPr="007A52A3" w14:paraId="23835A1A" w14:textId="77777777" w:rsidTr="00214121">
        <w:trPr>
          <w:trHeight w:val="300"/>
        </w:trPr>
        <w:tc>
          <w:tcPr>
            <w:tcW w:w="1526" w:type="dxa"/>
            <w:shd w:val="clear" w:color="auto" w:fill="auto"/>
            <w:noWrap/>
            <w:vAlign w:val="bottom"/>
            <w:hideMark/>
          </w:tcPr>
          <w:p w14:paraId="2825B56B"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31.12.2013</w:t>
            </w:r>
          </w:p>
        </w:tc>
        <w:tc>
          <w:tcPr>
            <w:tcW w:w="1984" w:type="dxa"/>
            <w:shd w:val="clear" w:color="auto" w:fill="auto"/>
            <w:noWrap/>
            <w:vAlign w:val="bottom"/>
            <w:hideMark/>
          </w:tcPr>
          <w:p w14:paraId="49ADA236"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100</w:t>
            </w:r>
          </w:p>
        </w:tc>
        <w:tc>
          <w:tcPr>
            <w:tcW w:w="1985" w:type="dxa"/>
            <w:shd w:val="clear" w:color="auto" w:fill="auto"/>
            <w:noWrap/>
            <w:vAlign w:val="bottom"/>
            <w:hideMark/>
          </w:tcPr>
          <w:p w14:paraId="2534D161"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80</w:t>
            </w:r>
          </w:p>
        </w:tc>
        <w:tc>
          <w:tcPr>
            <w:tcW w:w="1701" w:type="dxa"/>
            <w:shd w:val="clear" w:color="auto" w:fill="auto"/>
            <w:noWrap/>
            <w:vAlign w:val="bottom"/>
            <w:hideMark/>
          </w:tcPr>
          <w:p w14:paraId="76512EF5"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60</w:t>
            </w:r>
          </w:p>
        </w:tc>
      </w:tr>
      <w:tr w:rsidR="00D223FD" w:rsidRPr="007A52A3" w14:paraId="5521E1E2" w14:textId="77777777" w:rsidTr="00214121">
        <w:trPr>
          <w:trHeight w:val="300"/>
        </w:trPr>
        <w:tc>
          <w:tcPr>
            <w:tcW w:w="1526" w:type="dxa"/>
            <w:shd w:val="clear" w:color="auto" w:fill="auto"/>
            <w:noWrap/>
            <w:vAlign w:val="bottom"/>
            <w:hideMark/>
          </w:tcPr>
          <w:p w14:paraId="01245CE8"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31.12.2014 </w:t>
            </w:r>
          </w:p>
        </w:tc>
        <w:tc>
          <w:tcPr>
            <w:tcW w:w="1984" w:type="dxa"/>
            <w:shd w:val="clear" w:color="auto" w:fill="auto"/>
            <w:noWrap/>
            <w:vAlign w:val="bottom"/>
            <w:hideMark/>
          </w:tcPr>
          <w:p w14:paraId="6B0CF25E"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100</w:t>
            </w:r>
          </w:p>
        </w:tc>
        <w:tc>
          <w:tcPr>
            <w:tcW w:w="1985" w:type="dxa"/>
            <w:shd w:val="clear" w:color="auto" w:fill="auto"/>
            <w:noWrap/>
            <w:vAlign w:val="bottom"/>
            <w:hideMark/>
          </w:tcPr>
          <w:p w14:paraId="6ABAE1EE"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80</w:t>
            </w:r>
          </w:p>
        </w:tc>
        <w:tc>
          <w:tcPr>
            <w:tcW w:w="1701" w:type="dxa"/>
            <w:shd w:val="clear" w:color="auto" w:fill="auto"/>
            <w:noWrap/>
            <w:vAlign w:val="bottom"/>
            <w:hideMark/>
          </w:tcPr>
          <w:p w14:paraId="1E7A4E7D"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40</w:t>
            </w:r>
          </w:p>
        </w:tc>
      </w:tr>
      <w:tr w:rsidR="00D223FD" w:rsidRPr="007A52A3" w14:paraId="621713F3" w14:textId="77777777" w:rsidTr="00214121">
        <w:trPr>
          <w:trHeight w:val="300"/>
        </w:trPr>
        <w:tc>
          <w:tcPr>
            <w:tcW w:w="1526" w:type="dxa"/>
            <w:shd w:val="clear" w:color="auto" w:fill="auto"/>
            <w:noWrap/>
            <w:vAlign w:val="bottom"/>
            <w:hideMark/>
          </w:tcPr>
          <w:p w14:paraId="0FE37817"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31.12.2015</w:t>
            </w:r>
          </w:p>
        </w:tc>
        <w:tc>
          <w:tcPr>
            <w:tcW w:w="1984" w:type="dxa"/>
            <w:shd w:val="clear" w:color="auto" w:fill="auto"/>
            <w:noWrap/>
            <w:vAlign w:val="bottom"/>
            <w:hideMark/>
          </w:tcPr>
          <w:p w14:paraId="2482CDCB"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100</w:t>
            </w:r>
          </w:p>
        </w:tc>
        <w:tc>
          <w:tcPr>
            <w:tcW w:w="1985" w:type="dxa"/>
            <w:shd w:val="clear" w:color="auto" w:fill="auto"/>
            <w:noWrap/>
            <w:vAlign w:val="bottom"/>
            <w:hideMark/>
          </w:tcPr>
          <w:p w14:paraId="491DAA81"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80</w:t>
            </w:r>
          </w:p>
        </w:tc>
        <w:tc>
          <w:tcPr>
            <w:tcW w:w="1701" w:type="dxa"/>
            <w:shd w:val="clear" w:color="auto" w:fill="auto"/>
            <w:noWrap/>
            <w:vAlign w:val="bottom"/>
            <w:hideMark/>
          </w:tcPr>
          <w:p w14:paraId="1222F4D4"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20</w:t>
            </w:r>
          </w:p>
        </w:tc>
      </w:tr>
      <w:tr w:rsidR="00D223FD" w:rsidRPr="007A52A3" w14:paraId="43C81252" w14:textId="77777777" w:rsidTr="00214121">
        <w:trPr>
          <w:trHeight w:val="300"/>
        </w:trPr>
        <w:tc>
          <w:tcPr>
            <w:tcW w:w="1526" w:type="dxa"/>
            <w:shd w:val="clear" w:color="auto" w:fill="auto"/>
            <w:noWrap/>
            <w:vAlign w:val="bottom"/>
            <w:hideMark/>
          </w:tcPr>
          <w:p w14:paraId="2A652E31"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31.12.2016</w:t>
            </w:r>
          </w:p>
        </w:tc>
        <w:tc>
          <w:tcPr>
            <w:tcW w:w="1984" w:type="dxa"/>
            <w:shd w:val="clear" w:color="auto" w:fill="auto"/>
            <w:noWrap/>
            <w:vAlign w:val="bottom"/>
            <w:hideMark/>
          </w:tcPr>
          <w:p w14:paraId="06A9CA46"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100</w:t>
            </w:r>
          </w:p>
        </w:tc>
        <w:tc>
          <w:tcPr>
            <w:tcW w:w="1985" w:type="dxa"/>
            <w:shd w:val="clear" w:color="auto" w:fill="auto"/>
            <w:noWrap/>
            <w:vAlign w:val="bottom"/>
            <w:hideMark/>
          </w:tcPr>
          <w:p w14:paraId="3AC182F2"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80</w:t>
            </w:r>
          </w:p>
        </w:tc>
        <w:tc>
          <w:tcPr>
            <w:tcW w:w="1701" w:type="dxa"/>
            <w:shd w:val="clear" w:color="auto" w:fill="auto"/>
            <w:noWrap/>
            <w:vAlign w:val="bottom"/>
            <w:hideMark/>
          </w:tcPr>
          <w:p w14:paraId="2CC95B80"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w:t>
            </w:r>
          </w:p>
        </w:tc>
      </w:tr>
    </w:tbl>
    <w:p w14:paraId="6D739EF1" w14:textId="77777777" w:rsidR="007A52A3" w:rsidRPr="00214121" w:rsidRDefault="007A52A3" w:rsidP="00214121">
      <w:pPr>
        <w:spacing w:line="360" w:lineRule="auto"/>
        <w:rPr>
          <w:rFonts w:ascii="Arial" w:hAnsi="Arial"/>
        </w:rPr>
      </w:pPr>
    </w:p>
    <w:p w14:paraId="37D739DD" w14:textId="77777777" w:rsidR="00D223FD" w:rsidRDefault="00D223FD">
      <w:pPr>
        <w:rPr>
          <w:rFonts w:ascii="Arial" w:hAnsi="Arial"/>
          <w:b/>
        </w:rPr>
      </w:pPr>
      <w:r>
        <w:rPr>
          <w:rFonts w:ascii="Arial" w:hAnsi="Arial"/>
          <w:b/>
        </w:rPr>
        <w:br w:type="page"/>
      </w:r>
    </w:p>
    <w:p w14:paraId="6F0DAADC" w14:textId="60EEB129" w:rsidR="007A52A3" w:rsidRPr="00214121" w:rsidRDefault="007A52A3" w:rsidP="00214121">
      <w:pPr>
        <w:spacing w:line="360" w:lineRule="auto"/>
        <w:rPr>
          <w:rFonts w:ascii="Arial" w:hAnsi="Arial"/>
          <w:i/>
        </w:rPr>
      </w:pPr>
      <w:r w:rsidRPr="00214121">
        <w:rPr>
          <w:rFonts w:ascii="Arial" w:hAnsi="Arial"/>
          <w:i/>
        </w:rPr>
        <w:lastRenderedPageBreak/>
        <w:t xml:space="preserve">Option 1: </w:t>
      </w:r>
      <w:r w:rsidR="00D223FD">
        <w:rPr>
          <w:rFonts w:ascii="Arial" w:hAnsi="Arial"/>
          <w:i/>
        </w:rPr>
        <w:t>r</w:t>
      </w:r>
      <w:r w:rsidRPr="00214121">
        <w:rPr>
          <w:rFonts w:ascii="Arial" w:hAnsi="Arial"/>
          <w:i/>
        </w:rPr>
        <w:t>estate the lease incentive to comply with FRS 102 principles</w:t>
      </w:r>
    </w:p>
    <w:p w14:paraId="7A60BFBE" w14:textId="3A76D69B" w:rsidR="007A52A3" w:rsidRPr="00214121" w:rsidRDefault="007A52A3" w:rsidP="00214121">
      <w:pPr>
        <w:spacing w:line="360" w:lineRule="auto"/>
        <w:rPr>
          <w:rFonts w:ascii="Arial" w:hAnsi="Arial"/>
        </w:rPr>
      </w:pPr>
      <w:r w:rsidRPr="00214121">
        <w:rPr>
          <w:rFonts w:ascii="Arial" w:hAnsi="Arial"/>
        </w:rPr>
        <w:t>Section 20</w:t>
      </w:r>
      <w:r w:rsidR="00D223FD">
        <w:rPr>
          <w:rFonts w:ascii="Arial" w:hAnsi="Arial"/>
        </w:rPr>
        <w:t>,</w:t>
      </w:r>
      <w:r w:rsidRPr="00214121">
        <w:rPr>
          <w:rFonts w:ascii="Arial" w:hAnsi="Arial"/>
        </w:rPr>
        <w:t xml:space="preserve"> </w:t>
      </w:r>
      <w:r w:rsidR="00D223FD" w:rsidRPr="00D223FD">
        <w:rPr>
          <w:rFonts w:ascii="Arial" w:hAnsi="Arial"/>
        </w:rPr>
        <w:t>‘</w:t>
      </w:r>
      <w:r w:rsidRPr="00214121">
        <w:rPr>
          <w:rFonts w:ascii="Arial" w:hAnsi="Arial"/>
        </w:rPr>
        <w:t>Leases</w:t>
      </w:r>
      <w:r w:rsidR="00D223FD" w:rsidRPr="00214121">
        <w:rPr>
          <w:rFonts w:ascii="Arial" w:hAnsi="Arial"/>
        </w:rPr>
        <w:t>’</w:t>
      </w:r>
      <w:r w:rsidR="00D223FD">
        <w:rPr>
          <w:rFonts w:ascii="Arial" w:hAnsi="Arial"/>
        </w:rPr>
        <w:t>,</w:t>
      </w:r>
      <w:r w:rsidRPr="00214121">
        <w:rPr>
          <w:rFonts w:ascii="Arial" w:hAnsi="Arial"/>
          <w:i/>
        </w:rPr>
        <w:t xml:space="preserve"> </w:t>
      </w:r>
      <w:r w:rsidRPr="00214121">
        <w:rPr>
          <w:rFonts w:ascii="Arial" w:hAnsi="Arial"/>
        </w:rPr>
        <w:t xml:space="preserve">in FRS 102 does not consider break clauses and instead requires lease incentives to be written off </w:t>
      </w:r>
      <w:r w:rsidRPr="00214121">
        <w:rPr>
          <w:rFonts w:ascii="Arial" w:hAnsi="Arial"/>
          <w:i/>
        </w:rPr>
        <w:t>over the term of the lease</w:t>
      </w:r>
      <w:r w:rsidRPr="00214121">
        <w:rPr>
          <w:rFonts w:ascii="Arial" w:hAnsi="Arial"/>
        </w:rPr>
        <w:t>.</w:t>
      </w:r>
      <w:r>
        <w:rPr>
          <w:rFonts w:ascii="Arial" w:hAnsi="Arial"/>
        </w:rPr>
        <w:t xml:space="preserve"> </w:t>
      </w:r>
      <w:r w:rsidRPr="00214121">
        <w:rPr>
          <w:rFonts w:ascii="Arial" w:hAnsi="Arial"/>
        </w:rPr>
        <w:t>Therefore, under FRS 102, the lease profile would be as follows:</w:t>
      </w:r>
    </w:p>
    <w:p w14:paraId="6CA8C5BF" w14:textId="77777777" w:rsidR="007A52A3" w:rsidRPr="00214121" w:rsidRDefault="007A52A3" w:rsidP="00214121">
      <w:pPr>
        <w:spacing w:line="360" w:lineRule="auto"/>
        <w:rPr>
          <w:rFonts w:ascii="Arial" w:hAnsi="Arial"/>
        </w:rPr>
      </w:pPr>
    </w:p>
    <w:tbl>
      <w:tblPr>
        <w:tblW w:w="7479" w:type="dxa"/>
        <w:tblLayout w:type="fixed"/>
        <w:tblLook w:val="04A0" w:firstRow="1" w:lastRow="0" w:firstColumn="1" w:lastColumn="0" w:noHBand="0" w:noVBand="1"/>
      </w:tblPr>
      <w:tblGrid>
        <w:gridCol w:w="1700"/>
        <w:gridCol w:w="1700"/>
        <w:gridCol w:w="2237"/>
        <w:gridCol w:w="1842"/>
      </w:tblGrid>
      <w:tr w:rsidR="00C81F32" w:rsidRPr="007A52A3" w14:paraId="12ED2E58" w14:textId="77777777" w:rsidTr="00214121">
        <w:trPr>
          <w:trHeight w:val="300"/>
        </w:trPr>
        <w:tc>
          <w:tcPr>
            <w:tcW w:w="1700" w:type="dxa"/>
            <w:tcBorders>
              <w:top w:val="nil"/>
              <w:left w:val="nil"/>
              <w:bottom w:val="nil"/>
              <w:right w:val="nil"/>
            </w:tcBorders>
            <w:shd w:val="clear" w:color="auto" w:fill="auto"/>
            <w:noWrap/>
            <w:vAlign w:val="bottom"/>
            <w:hideMark/>
          </w:tcPr>
          <w:p w14:paraId="21B7159E" w14:textId="77777777" w:rsidR="007A52A3" w:rsidRPr="00214121" w:rsidRDefault="007A52A3" w:rsidP="00214121">
            <w:pPr>
              <w:spacing w:line="360" w:lineRule="auto"/>
              <w:rPr>
                <w:rFonts w:ascii="Arial" w:hAnsi="Arial"/>
                <w:lang w:val="en-US"/>
              </w:rPr>
            </w:pPr>
          </w:p>
        </w:tc>
        <w:tc>
          <w:tcPr>
            <w:tcW w:w="1700" w:type="dxa"/>
            <w:tcBorders>
              <w:top w:val="nil"/>
              <w:left w:val="nil"/>
              <w:bottom w:val="nil"/>
              <w:right w:val="nil"/>
            </w:tcBorders>
            <w:shd w:val="clear" w:color="auto" w:fill="auto"/>
            <w:noWrap/>
            <w:vAlign w:val="bottom"/>
            <w:hideMark/>
          </w:tcPr>
          <w:p w14:paraId="07C5112A" w14:textId="77777777" w:rsidR="007A52A3" w:rsidRPr="00214121" w:rsidRDefault="007A52A3" w:rsidP="00214121">
            <w:pPr>
              <w:spacing w:line="360" w:lineRule="auto"/>
              <w:jc w:val="right"/>
              <w:rPr>
                <w:rFonts w:ascii="Arial" w:hAnsi="Arial"/>
                <w:b/>
                <w:bCs/>
                <w:color w:val="000000"/>
                <w:lang w:val="en-US"/>
              </w:rPr>
            </w:pPr>
            <w:r w:rsidRPr="00214121">
              <w:rPr>
                <w:rFonts w:ascii="Arial" w:hAnsi="Arial"/>
                <w:b/>
                <w:bCs/>
                <w:color w:val="000000"/>
                <w:lang w:val="en-US"/>
              </w:rPr>
              <w:t>Paid</w:t>
            </w:r>
          </w:p>
        </w:tc>
        <w:tc>
          <w:tcPr>
            <w:tcW w:w="2237" w:type="dxa"/>
            <w:tcBorders>
              <w:top w:val="nil"/>
              <w:left w:val="nil"/>
              <w:bottom w:val="nil"/>
              <w:right w:val="nil"/>
            </w:tcBorders>
            <w:shd w:val="clear" w:color="auto" w:fill="auto"/>
            <w:noWrap/>
            <w:vAlign w:val="bottom"/>
            <w:hideMark/>
          </w:tcPr>
          <w:p w14:paraId="2E3025AA" w14:textId="77777777" w:rsidR="007A52A3" w:rsidRPr="00214121" w:rsidRDefault="007A52A3" w:rsidP="00214121">
            <w:pPr>
              <w:spacing w:line="360" w:lineRule="auto"/>
              <w:jc w:val="right"/>
              <w:rPr>
                <w:rFonts w:ascii="Arial" w:hAnsi="Arial"/>
                <w:b/>
                <w:bCs/>
                <w:color w:val="000000"/>
                <w:lang w:val="en-US"/>
              </w:rPr>
            </w:pPr>
            <w:r w:rsidRPr="00214121">
              <w:rPr>
                <w:rFonts w:ascii="Arial" w:hAnsi="Arial"/>
                <w:b/>
                <w:bCs/>
                <w:color w:val="000000"/>
                <w:lang w:val="en-US"/>
              </w:rPr>
              <w:t>Charge to P&amp;L</w:t>
            </w:r>
          </w:p>
        </w:tc>
        <w:tc>
          <w:tcPr>
            <w:tcW w:w="1842" w:type="dxa"/>
            <w:tcBorders>
              <w:top w:val="nil"/>
              <w:left w:val="nil"/>
              <w:bottom w:val="nil"/>
              <w:right w:val="nil"/>
            </w:tcBorders>
            <w:shd w:val="clear" w:color="auto" w:fill="auto"/>
            <w:noWrap/>
            <w:vAlign w:val="bottom"/>
            <w:hideMark/>
          </w:tcPr>
          <w:p w14:paraId="0821C773" w14:textId="77777777" w:rsidR="007A52A3" w:rsidRPr="00214121" w:rsidRDefault="007A52A3" w:rsidP="00214121">
            <w:pPr>
              <w:spacing w:line="360" w:lineRule="auto"/>
              <w:jc w:val="right"/>
              <w:rPr>
                <w:rFonts w:ascii="Arial" w:hAnsi="Arial"/>
                <w:b/>
                <w:bCs/>
                <w:color w:val="000000"/>
                <w:lang w:val="en-US"/>
              </w:rPr>
            </w:pPr>
            <w:r w:rsidRPr="00214121">
              <w:rPr>
                <w:rFonts w:ascii="Arial" w:hAnsi="Arial"/>
                <w:b/>
                <w:bCs/>
                <w:color w:val="000000"/>
                <w:lang w:val="en-US"/>
              </w:rPr>
              <w:t>Balance c/f</w:t>
            </w:r>
          </w:p>
        </w:tc>
      </w:tr>
      <w:tr w:rsidR="00C81F32" w:rsidRPr="007A52A3" w14:paraId="3B6D110F" w14:textId="77777777" w:rsidTr="00214121">
        <w:trPr>
          <w:trHeight w:val="300"/>
        </w:trPr>
        <w:tc>
          <w:tcPr>
            <w:tcW w:w="1700" w:type="dxa"/>
            <w:tcBorders>
              <w:top w:val="nil"/>
              <w:left w:val="nil"/>
              <w:bottom w:val="nil"/>
              <w:right w:val="nil"/>
            </w:tcBorders>
            <w:shd w:val="clear" w:color="auto" w:fill="auto"/>
            <w:noWrap/>
            <w:vAlign w:val="bottom"/>
            <w:hideMark/>
          </w:tcPr>
          <w:p w14:paraId="301795D9" w14:textId="6AF32DEE" w:rsidR="007A52A3" w:rsidRPr="00214121" w:rsidRDefault="007A52A3" w:rsidP="00214121">
            <w:pPr>
              <w:spacing w:line="360" w:lineRule="auto"/>
              <w:rPr>
                <w:rFonts w:ascii="Arial" w:hAnsi="Arial"/>
                <w:b/>
                <w:bCs/>
                <w:color w:val="000000"/>
                <w:lang w:val="en-US"/>
              </w:rPr>
            </w:pPr>
            <w:r w:rsidRPr="00214121">
              <w:rPr>
                <w:rFonts w:ascii="Arial" w:hAnsi="Arial"/>
                <w:b/>
                <w:bCs/>
                <w:color w:val="000000"/>
                <w:lang w:val="en-US"/>
              </w:rPr>
              <w:t>Year</w:t>
            </w:r>
            <w:r w:rsidR="00C81F32">
              <w:rPr>
                <w:rFonts w:ascii="Arial" w:hAnsi="Arial"/>
                <w:b/>
                <w:bCs/>
                <w:color w:val="000000"/>
                <w:lang w:val="en-US"/>
              </w:rPr>
              <w:t xml:space="preserve"> </w:t>
            </w:r>
            <w:r w:rsidRPr="00214121">
              <w:rPr>
                <w:rFonts w:ascii="Arial" w:hAnsi="Arial"/>
                <w:b/>
                <w:bCs/>
                <w:color w:val="000000"/>
                <w:lang w:val="en-US"/>
              </w:rPr>
              <w:t>end</w:t>
            </w:r>
          </w:p>
        </w:tc>
        <w:tc>
          <w:tcPr>
            <w:tcW w:w="1700" w:type="dxa"/>
            <w:tcBorders>
              <w:top w:val="nil"/>
              <w:left w:val="nil"/>
              <w:bottom w:val="nil"/>
              <w:right w:val="nil"/>
            </w:tcBorders>
            <w:shd w:val="clear" w:color="auto" w:fill="auto"/>
            <w:noWrap/>
            <w:vAlign w:val="bottom"/>
            <w:hideMark/>
          </w:tcPr>
          <w:p w14:paraId="13DC824C" w14:textId="77777777" w:rsidR="007A52A3" w:rsidRPr="00214121" w:rsidRDefault="007A52A3" w:rsidP="00214121">
            <w:pPr>
              <w:spacing w:line="360" w:lineRule="auto"/>
              <w:jc w:val="right"/>
              <w:rPr>
                <w:rFonts w:ascii="Arial" w:hAnsi="Arial"/>
                <w:b/>
                <w:bCs/>
                <w:color w:val="000000"/>
                <w:lang w:val="en-US"/>
              </w:rPr>
            </w:pPr>
            <w:r w:rsidRPr="00214121">
              <w:rPr>
                <w:rFonts w:ascii="Arial" w:hAnsi="Arial"/>
                <w:b/>
                <w:bCs/>
                <w:color w:val="000000"/>
                <w:lang w:val="en-US"/>
              </w:rPr>
              <w:t>£'000</w:t>
            </w:r>
          </w:p>
        </w:tc>
        <w:tc>
          <w:tcPr>
            <w:tcW w:w="2237" w:type="dxa"/>
            <w:tcBorders>
              <w:top w:val="nil"/>
              <w:left w:val="nil"/>
              <w:bottom w:val="nil"/>
              <w:right w:val="nil"/>
            </w:tcBorders>
            <w:shd w:val="clear" w:color="auto" w:fill="auto"/>
            <w:noWrap/>
            <w:vAlign w:val="bottom"/>
            <w:hideMark/>
          </w:tcPr>
          <w:p w14:paraId="0D7F56A2" w14:textId="77777777" w:rsidR="007A52A3" w:rsidRPr="00214121" w:rsidRDefault="007A52A3" w:rsidP="00214121">
            <w:pPr>
              <w:spacing w:line="360" w:lineRule="auto"/>
              <w:jc w:val="right"/>
              <w:rPr>
                <w:rFonts w:ascii="Arial" w:hAnsi="Arial"/>
                <w:b/>
                <w:bCs/>
                <w:color w:val="000000"/>
                <w:lang w:val="en-US"/>
              </w:rPr>
            </w:pPr>
            <w:r w:rsidRPr="00214121">
              <w:rPr>
                <w:rFonts w:ascii="Arial" w:hAnsi="Arial"/>
                <w:b/>
                <w:bCs/>
                <w:color w:val="000000"/>
                <w:lang w:val="en-US"/>
              </w:rPr>
              <w:t>£'000</w:t>
            </w:r>
          </w:p>
        </w:tc>
        <w:tc>
          <w:tcPr>
            <w:tcW w:w="1842" w:type="dxa"/>
            <w:tcBorders>
              <w:top w:val="nil"/>
              <w:left w:val="nil"/>
              <w:bottom w:val="nil"/>
              <w:right w:val="nil"/>
            </w:tcBorders>
            <w:shd w:val="clear" w:color="auto" w:fill="auto"/>
            <w:noWrap/>
            <w:vAlign w:val="bottom"/>
            <w:hideMark/>
          </w:tcPr>
          <w:p w14:paraId="692B4117" w14:textId="77777777" w:rsidR="007A52A3" w:rsidRPr="00214121" w:rsidRDefault="007A52A3" w:rsidP="00214121">
            <w:pPr>
              <w:spacing w:line="360" w:lineRule="auto"/>
              <w:jc w:val="right"/>
              <w:rPr>
                <w:rFonts w:ascii="Arial" w:hAnsi="Arial"/>
                <w:b/>
                <w:bCs/>
                <w:color w:val="000000"/>
                <w:lang w:val="en-US"/>
              </w:rPr>
            </w:pPr>
            <w:r w:rsidRPr="00214121">
              <w:rPr>
                <w:rFonts w:ascii="Arial" w:hAnsi="Arial"/>
                <w:b/>
                <w:bCs/>
                <w:color w:val="000000"/>
                <w:lang w:val="en-US"/>
              </w:rPr>
              <w:t>£'000</w:t>
            </w:r>
          </w:p>
        </w:tc>
      </w:tr>
      <w:tr w:rsidR="00C81F32" w:rsidRPr="007A52A3" w14:paraId="02EF9A99" w14:textId="77777777" w:rsidTr="00214121">
        <w:trPr>
          <w:trHeight w:val="300"/>
        </w:trPr>
        <w:tc>
          <w:tcPr>
            <w:tcW w:w="1700" w:type="dxa"/>
            <w:tcBorders>
              <w:top w:val="nil"/>
              <w:left w:val="nil"/>
              <w:bottom w:val="nil"/>
              <w:right w:val="nil"/>
            </w:tcBorders>
            <w:shd w:val="clear" w:color="auto" w:fill="auto"/>
            <w:noWrap/>
            <w:vAlign w:val="bottom"/>
            <w:hideMark/>
          </w:tcPr>
          <w:p w14:paraId="62343008"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31.12.2012</w:t>
            </w:r>
          </w:p>
        </w:tc>
        <w:tc>
          <w:tcPr>
            <w:tcW w:w="1700" w:type="dxa"/>
            <w:tcBorders>
              <w:top w:val="nil"/>
              <w:left w:val="nil"/>
              <w:bottom w:val="nil"/>
              <w:right w:val="nil"/>
            </w:tcBorders>
            <w:shd w:val="clear" w:color="auto" w:fill="auto"/>
            <w:noWrap/>
            <w:vAlign w:val="bottom"/>
            <w:hideMark/>
          </w:tcPr>
          <w:p w14:paraId="07239CF8"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w:t>
            </w:r>
          </w:p>
        </w:tc>
        <w:tc>
          <w:tcPr>
            <w:tcW w:w="2237" w:type="dxa"/>
            <w:tcBorders>
              <w:top w:val="nil"/>
              <w:left w:val="nil"/>
              <w:bottom w:val="nil"/>
              <w:right w:val="nil"/>
            </w:tcBorders>
            <w:shd w:val="clear" w:color="auto" w:fill="auto"/>
            <w:noWrap/>
            <w:vAlign w:val="bottom"/>
            <w:hideMark/>
          </w:tcPr>
          <w:p w14:paraId="7C498572"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90</w:t>
            </w:r>
          </w:p>
        </w:tc>
        <w:tc>
          <w:tcPr>
            <w:tcW w:w="1842" w:type="dxa"/>
            <w:tcBorders>
              <w:top w:val="nil"/>
              <w:left w:val="nil"/>
              <w:bottom w:val="nil"/>
              <w:right w:val="nil"/>
            </w:tcBorders>
            <w:shd w:val="clear" w:color="auto" w:fill="auto"/>
            <w:noWrap/>
            <w:vAlign w:val="bottom"/>
            <w:hideMark/>
          </w:tcPr>
          <w:p w14:paraId="2B915ED3"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90</w:t>
            </w:r>
          </w:p>
        </w:tc>
      </w:tr>
      <w:tr w:rsidR="00C81F32" w:rsidRPr="007A52A3" w14:paraId="4EE59D1A" w14:textId="77777777" w:rsidTr="00214121">
        <w:trPr>
          <w:trHeight w:val="300"/>
        </w:trPr>
        <w:tc>
          <w:tcPr>
            <w:tcW w:w="1700" w:type="dxa"/>
            <w:tcBorders>
              <w:top w:val="nil"/>
              <w:left w:val="nil"/>
              <w:bottom w:val="nil"/>
              <w:right w:val="nil"/>
            </w:tcBorders>
            <w:shd w:val="clear" w:color="auto" w:fill="auto"/>
            <w:noWrap/>
            <w:vAlign w:val="bottom"/>
            <w:hideMark/>
          </w:tcPr>
          <w:p w14:paraId="3D0AA02C"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31.12.2013</w:t>
            </w:r>
          </w:p>
        </w:tc>
        <w:tc>
          <w:tcPr>
            <w:tcW w:w="1700" w:type="dxa"/>
            <w:tcBorders>
              <w:top w:val="nil"/>
              <w:left w:val="nil"/>
              <w:bottom w:val="nil"/>
              <w:right w:val="nil"/>
            </w:tcBorders>
            <w:shd w:val="clear" w:color="auto" w:fill="auto"/>
            <w:noWrap/>
            <w:vAlign w:val="bottom"/>
            <w:hideMark/>
          </w:tcPr>
          <w:p w14:paraId="5BAF817D"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100</w:t>
            </w:r>
          </w:p>
        </w:tc>
        <w:tc>
          <w:tcPr>
            <w:tcW w:w="2237" w:type="dxa"/>
            <w:tcBorders>
              <w:top w:val="nil"/>
              <w:left w:val="nil"/>
              <w:bottom w:val="nil"/>
              <w:right w:val="nil"/>
            </w:tcBorders>
            <w:shd w:val="clear" w:color="auto" w:fill="auto"/>
            <w:noWrap/>
            <w:vAlign w:val="bottom"/>
            <w:hideMark/>
          </w:tcPr>
          <w:p w14:paraId="77079084"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90</w:t>
            </w:r>
          </w:p>
        </w:tc>
        <w:tc>
          <w:tcPr>
            <w:tcW w:w="1842" w:type="dxa"/>
            <w:tcBorders>
              <w:top w:val="nil"/>
              <w:left w:val="nil"/>
              <w:bottom w:val="nil"/>
              <w:right w:val="nil"/>
            </w:tcBorders>
            <w:shd w:val="clear" w:color="auto" w:fill="auto"/>
            <w:noWrap/>
            <w:vAlign w:val="bottom"/>
            <w:hideMark/>
          </w:tcPr>
          <w:p w14:paraId="78401EAC"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80</w:t>
            </w:r>
          </w:p>
        </w:tc>
      </w:tr>
      <w:tr w:rsidR="00C81F32" w:rsidRPr="007A52A3" w14:paraId="55F88EC5" w14:textId="77777777" w:rsidTr="00214121">
        <w:trPr>
          <w:trHeight w:val="300"/>
        </w:trPr>
        <w:tc>
          <w:tcPr>
            <w:tcW w:w="1700" w:type="dxa"/>
            <w:tcBorders>
              <w:top w:val="nil"/>
              <w:left w:val="nil"/>
              <w:bottom w:val="nil"/>
              <w:right w:val="nil"/>
            </w:tcBorders>
            <w:shd w:val="clear" w:color="auto" w:fill="auto"/>
            <w:noWrap/>
            <w:vAlign w:val="bottom"/>
            <w:hideMark/>
          </w:tcPr>
          <w:p w14:paraId="59C8C895"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31.12.2014</w:t>
            </w:r>
          </w:p>
        </w:tc>
        <w:tc>
          <w:tcPr>
            <w:tcW w:w="1700" w:type="dxa"/>
            <w:tcBorders>
              <w:top w:val="nil"/>
              <w:left w:val="nil"/>
              <w:bottom w:val="nil"/>
              <w:right w:val="nil"/>
            </w:tcBorders>
            <w:shd w:val="clear" w:color="auto" w:fill="auto"/>
            <w:noWrap/>
            <w:vAlign w:val="bottom"/>
            <w:hideMark/>
          </w:tcPr>
          <w:p w14:paraId="06C3E9AE"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100</w:t>
            </w:r>
          </w:p>
        </w:tc>
        <w:tc>
          <w:tcPr>
            <w:tcW w:w="2237" w:type="dxa"/>
            <w:tcBorders>
              <w:top w:val="nil"/>
              <w:left w:val="nil"/>
              <w:bottom w:val="nil"/>
              <w:right w:val="nil"/>
            </w:tcBorders>
            <w:shd w:val="clear" w:color="auto" w:fill="auto"/>
            <w:noWrap/>
            <w:vAlign w:val="bottom"/>
            <w:hideMark/>
          </w:tcPr>
          <w:p w14:paraId="24E85AC1"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90</w:t>
            </w:r>
          </w:p>
        </w:tc>
        <w:tc>
          <w:tcPr>
            <w:tcW w:w="1842" w:type="dxa"/>
            <w:tcBorders>
              <w:top w:val="nil"/>
              <w:left w:val="nil"/>
              <w:bottom w:val="nil"/>
              <w:right w:val="nil"/>
            </w:tcBorders>
            <w:shd w:val="clear" w:color="auto" w:fill="auto"/>
            <w:noWrap/>
            <w:vAlign w:val="bottom"/>
            <w:hideMark/>
          </w:tcPr>
          <w:p w14:paraId="00EE6DD7"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70</w:t>
            </w:r>
          </w:p>
        </w:tc>
      </w:tr>
      <w:tr w:rsidR="00C81F32" w:rsidRPr="007A52A3" w14:paraId="5701993F" w14:textId="77777777" w:rsidTr="00214121">
        <w:trPr>
          <w:trHeight w:val="300"/>
        </w:trPr>
        <w:tc>
          <w:tcPr>
            <w:tcW w:w="1700" w:type="dxa"/>
            <w:tcBorders>
              <w:top w:val="nil"/>
              <w:left w:val="nil"/>
              <w:bottom w:val="nil"/>
              <w:right w:val="nil"/>
            </w:tcBorders>
            <w:shd w:val="clear" w:color="auto" w:fill="auto"/>
            <w:noWrap/>
            <w:vAlign w:val="bottom"/>
            <w:hideMark/>
          </w:tcPr>
          <w:p w14:paraId="3B8A0837"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31.12.2015</w:t>
            </w:r>
          </w:p>
        </w:tc>
        <w:tc>
          <w:tcPr>
            <w:tcW w:w="1700" w:type="dxa"/>
            <w:tcBorders>
              <w:top w:val="nil"/>
              <w:left w:val="nil"/>
              <w:bottom w:val="nil"/>
              <w:right w:val="nil"/>
            </w:tcBorders>
            <w:shd w:val="clear" w:color="auto" w:fill="auto"/>
            <w:noWrap/>
            <w:vAlign w:val="bottom"/>
            <w:hideMark/>
          </w:tcPr>
          <w:p w14:paraId="3969F375"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100</w:t>
            </w:r>
          </w:p>
        </w:tc>
        <w:tc>
          <w:tcPr>
            <w:tcW w:w="2237" w:type="dxa"/>
            <w:tcBorders>
              <w:top w:val="nil"/>
              <w:left w:val="nil"/>
              <w:bottom w:val="nil"/>
              <w:right w:val="nil"/>
            </w:tcBorders>
            <w:shd w:val="clear" w:color="auto" w:fill="auto"/>
            <w:noWrap/>
            <w:vAlign w:val="bottom"/>
            <w:hideMark/>
          </w:tcPr>
          <w:p w14:paraId="30ADA24D"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90</w:t>
            </w:r>
          </w:p>
        </w:tc>
        <w:tc>
          <w:tcPr>
            <w:tcW w:w="1842" w:type="dxa"/>
            <w:tcBorders>
              <w:top w:val="nil"/>
              <w:left w:val="nil"/>
              <w:bottom w:val="nil"/>
              <w:right w:val="nil"/>
            </w:tcBorders>
            <w:shd w:val="clear" w:color="auto" w:fill="auto"/>
            <w:noWrap/>
            <w:vAlign w:val="bottom"/>
            <w:hideMark/>
          </w:tcPr>
          <w:p w14:paraId="103832CD"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60</w:t>
            </w:r>
          </w:p>
        </w:tc>
      </w:tr>
      <w:tr w:rsidR="00C81F32" w:rsidRPr="007A52A3" w14:paraId="11F624BF" w14:textId="77777777" w:rsidTr="00214121">
        <w:trPr>
          <w:trHeight w:val="300"/>
        </w:trPr>
        <w:tc>
          <w:tcPr>
            <w:tcW w:w="1700" w:type="dxa"/>
            <w:tcBorders>
              <w:top w:val="nil"/>
              <w:left w:val="nil"/>
              <w:bottom w:val="nil"/>
              <w:right w:val="nil"/>
            </w:tcBorders>
            <w:shd w:val="clear" w:color="auto" w:fill="auto"/>
            <w:noWrap/>
            <w:vAlign w:val="bottom"/>
            <w:hideMark/>
          </w:tcPr>
          <w:p w14:paraId="7360D742"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31.12.2016</w:t>
            </w:r>
          </w:p>
        </w:tc>
        <w:tc>
          <w:tcPr>
            <w:tcW w:w="1700" w:type="dxa"/>
            <w:tcBorders>
              <w:top w:val="nil"/>
              <w:left w:val="nil"/>
              <w:bottom w:val="nil"/>
              <w:right w:val="nil"/>
            </w:tcBorders>
            <w:shd w:val="clear" w:color="auto" w:fill="auto"/>
            <w:noWrap/>
            <w:vAlign w:val="bottom"/>
            <w:hideMark/>
          </w:tcPr>
          <w:p w14:paraId="652EE2DB"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100</w:t>
            </w:r>
          </w:p>
        </w:tc>
        <w:tc>
          <w:tcPr>
            <w:tcW w:w="2237" w:type="dxa"/>
            <w:tcBorders>
              <w:top w:val="nil"/>
              <w:left w:val="nil"/>
              <w:bottom w:val="nil"/>
              <w:right w:val="nil"/>
            </w:tcBorders>
            <w:shd w:val="clear" w:color="auto" w:fill="auto"/>
            <w:noWrap/>
            <w:vAlign w:val="bottom"/>
            <w:hideMark/>
          </w:tcPr>
          <w:p w14:paraId="52C1CA58"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90</w:t>
            </w:r>
          </w:p>
        </w:tc>
        <w:tc>
          <w:tcPr>
            <w:tcW w:w="1842" w:type="dxa"/>
            <w:tcBorders>
              <w:top w:val="nil"/>
              <w:left w:val="nil"/>
              <w:bottom w:val="nil"/>
              <w:right w:val="nil"/>
            </w:tcBorders>
            <w:shd w:val="clear" w:color="auto" w:fill="auto"/>
            <w:noWrap/>
            <w:vAlign w:val="bottom"/>
            <w:hideMark/>
          </w:tcPr>
          <w:p w14:paraId="6F7C6330"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50</w:t>
            </w:r>
          </w:p>
        </w:tc>
      </w:tr>
      <w:tr w:rsidR="00C81F32" w:rsidRPr="007A52A3" w14:paraId="596B4511" w14:textId="77777777" w:rsidTr="00214121">
        <w:trPr>
          <w:trHeight w:val="300"/>
        </w:trPr>
        <w:tc>
          <w:tcPr>
            <w:tcW w:w="1700" w:type="dxa"/>
            <w:tcBorders>
              <w:top w:val="nil"/>
              <w:left w:val="nil"/>
              <w:bottom w:val="nil"/>
              <w:right w:val="nil"/>
            </w:tcBorders>
            <w:shd w:val="clear" w:color="auto" w:fill="auto"/>
            <w:noWrap/>
            <w:vAlign w:val="bottom"/>
            <w:hideMark/>
          </w:tcPr>
          <w:p w14:paraId="2AEC740D"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31.12.2017</w:t>
            </w:r>
          </w:p>
        </w:tc>
        <w:tc>
          <w:tcPr>
            <w:tcW w:w="1700" w:type="dxa"/>
            <w:tcBorders>
              <w:top w:val="nil"/>
              <w:left w:val="nil"/>
              <w:bottom w:val="nil"/>
              <w:right w:val="nil"/>
            </w:tcBorders>
            <w:shd w:val="clear" w:color="auto" w:fill="auto"/>
            <w:noWrap/>
            <w:vAlign w:val="bottom"/>
            <w:hideMark/>
          </w:tcPr>
          <w:p w14:paraId="4C2CE732"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100</w:t>
            </w:r>
          </w:p>
        </w:tc>
        <w:tc>
          <w:tcPr>
            <w:tcW w:w="2237" w:type="dxa"/>
            <w:tcBorders>
              <w:top w:val="nil"/>
              <w:left w:val="nil"/>
              <w:bottom w:val="nil"/>
              <w:right w:val="nil"/>
            </w:tcBorders>
            <w:shd w:val="clear" w:color="auto" w:fill="auto"/>
            <w:noWrap/>
            <w:vAlign w:val="bottom"/>
            <w:hideMark/>
          </w:tcPr>
          <w:p w14:paraId="71AE4626"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90</w:t>
            </w:r>
          </w:p>
        </w:tc>
        <w:tc>
          <w:tcPr>
            <w:tcW w:w="1842" w:type="dxa"/>
            <w:tcBorders>
              <w:top w:val="nil"/>
              <w:left w:val="nil"/>
              <w:bottom w:val="nil"/>
              <w:right w:val="nil"/>
            </w:tcBorders>
            <w:shd w:val="clear" w:color="auto" w:fill="auto"/>
            <w:noWrap/>
            <w:vAlign w:val="bottom"/>
            <w:hideMark/>
          </w:tcPr>
          <w:p w14:paraId="45C6099A"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40</w:t>
            </w:r>
          </w:p>
        </w:tc>
      </w:tr>
      <w:tr w:rsidR="00C81F32" w:rsidRPr="007A52A3" w14:paraId="716DD28D" w14:textId="77777777" w:rsidTr="00214121">
        <w:trPr>
          <w:trHeight w:val="300"/>
        </w:trPr>
        <w:tc>
          <w:tcPr>
            <w:tcW w:w="1700" w:type="dxa"/>
            <w:tcBorders>
              <w:top w:val="nil"/>
              <w:left w:val="nil"/>
              <w:bottom w:val="nil"/>
              <w:right w:val="nil"/>
            </w:tcBorders>
            <w:shd w:val="clear" w:color="auto" w:fill="auto"/>
            <w:noWrap/>
            <w:vAlign w:val="bottom"/>
            <w:hideMark/>
          </w:tcPr>
          <w:p w14:paraId="03457B24"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31.12.2018</w:t>
            </w:r>
          </w:p>
        </w:tc>
        <w:tc>
          <w:tcPr>
            <w:tcW w:w="1700" w:type="dxa"/>
            <w:tcBorders>
              <w:top w:val="nil"/>
              <w:left w:val="nil"/>
              <w:bottom w:val="nil"/>
              <w:right w:val="nil"/>
            </w:tcBorders>
            <w:shd w:val="clear" w:color="auto" w:fill="auto"/>
            <w:noWrap/>
            <w:vAlign w:val="bottom"/>
            <w:hideMark/>
          </w:tcPr>
          <w:p w14:paraId="1B91BF04"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100</w:t>
            </w:r>
          </w:p>
        </w:tc>
        <w:tc>
          <w:tcPr>
            <w:tcW w:w="2237" w:type="dxa"/>
            <w:tcBorders>
              <w:top w:val="nil"/>
              <w:left w:val="nil"/>
              <w:bottom w:val="nil"/>
              <w:right w:val="nil"/>
            </w:tcBorders>
            <w:shd w:val="clear" w:color="auto" w:fill="auto"/>
            <w:noWrap/>
            <w:vAlign w:val="bottom"/>
            <w:hideMark/>
          </w:tcPr>
          <w:p w14:paraId="4159B301"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90</w:t>
            </w:r>
          </w:p>
        </w:tc>
        <w:tc>
          <w:tcPr>
            <w:tcW w:w="1842" w:type="dxa"/>
            <w:tcBorders>
              <w:top w:val="nil"/>
              <w:left w:val="nil"/>
              <w:bottom w:val="nil"/>
              <w:right w:val="nil"/>
            </w:tcBorders>
            <w:shd w:val="clear" w:color="auto" w:fill="auto"/>
            <w:noWrap/>
            <w:vAlign w:val="bottom"/>
            <w:hideMark/>
          </w:tcPr>
          <w:p w14:paraId="293500D6"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30</w:t>
            </w:r>
          </w:p>
        </w:tc>
      </w:tr>
      <w:tr w:rsidR="00C81F32" w:rsidRPr="007A52A3" w14:paraId="17FB2F33" w14:textId="77777777" w:rsidTr="00214121">
        <w:trPr>
          <w:trHeight w:val="300"/>
        </w:trPr>
        <w:tc>
          <w:tcPr>
            <w:tcW w:w="1700" w:type="dxa"/>
            <w:tcBorders>
              <w:top w:val="nil"/>
              <w:left w:val="nil"/>
              <w:bottom w:val="nil"/>
              <w:right w:val="nil"/>
            </w:tcBorders>
            <w:shd w:val="clear" w:color="auto" w:fill="auto"/>
            <w:noWrap/>
            <w:vAlign w:val="bottom"/>
            <w:hideMark/>
          </w:tcPr>
          <w:p w14:paraId="1D336FFF"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31.12.2019</w:t>
            </w:r>
          </w:p>
        </w:tc>
        <w:tc>
          <w:tcPr>
            <w:tcW w:w="1700" w:type="dxa"/>
            <w:tcBorders>
              <w:top w:val="nil"/>
              <w:left w:val="nil"/>
              <w:bottom w:val="nil"/>
              <w:right w:val="nil"/>
            </w:tcBorders>
            <w:shd w:val="clear" w:color="auto" w:fill="auto"/>
            <w:noWrap/>
            <w:vAlign w:val="bottom"/>
            <w:hideMark/>
          </w:tcPr>
          <w:p w14:paraId="595C5E61"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100</w:t>
            </w:r>
          </w:p>
        </w:tc>
        <w:tc>
          <w:tcPr>
            <w:tcW w:w="2237" w:type="dxa"/>
            <w:tcBorders>
              <w:top w:val="nil"/>
              <w:left w:val="nil"/>
              <w:bottom w:val="nil"/>
              <w:right w:val="nil"/>
            </w:tcBorders>
            <w:shd w:val="clear" w:color="auto" w:fill="auto"/>
            <w:noWrap/>
            <w:vAlign w:val="bottom"/>
            <w:hideMark/>
          </w:tcPr>
          <w:p w14:paraId="479D99C9"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90</w:t>
            </w:r>
          </w:p>
        </w:tc>
        <w:tc>
          <w:tcPr>
            <w:tcW w:w="1842" w:type="dxa"/>
            <w:tcBorders>
              <w:top w:val="nil"/>
              <w:left w:val="nil"/>
              <w:bottom w:val="nil"/>
              <w:right w:val="nil"/>
            </w:tcBorders>
            <w:shd w:val="clear" w:color="auto" w:fill="auto"/>
            <w:noWrap/>
            <w:vAlign w:val="bottom"/>
            <w:hideMark/>
          </w:tcPr>
          <w:p w14:paraId="0421991A"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20</w:t>
            </w:r>
          </w:p>
        </w:tc>
      </w:tr>
      <w:tr w:rsidR="00C81F32" w:rsidRPr="007A52A3" w14:paraId="77D139E5" w14:textId="77777777" w:rsidTr="00214121">
        <w:trPr>
          <w:trHeight w:val="300"/>
        </w:trPr>
        <w:tc>
          <w:tcPr>
            <w:tcW w:w="1700" w:type="dxa"/>
            <w:tcBorders>
              <w:top w:val="nil"/>
              <w:left w:val="nil"/>
              <w:bottom w:val="nil"/>
              <w:right w:val="nil"/>
            </w:tcBorders>
            <w:shd w:val="clear" w:color="auto" w:fill="auto"/>
            <w:noWrap/>
            <w:vAlign w:val="bottom"/>
            <w:hideMark/>
          </w:tcPr>
          <w:p w14:paraId="1A4E6636"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31.12.2020</w:t>
            </w:r>
          </w:p>
        </w:tc>
        <w:tc>
          <w:tcPr>
            <w:tcW w:w="1700" w:type="dxa"/>
            <w:tcBorders>
              <w:top w:val="nil"/>
              <w:left w:val="nil"/>
              <w:bottom w:val="nil"/>
              <w:right w:val="nil"/>
            </w:tcBorders>
            <w:shd w:val="clear" w:color="auto" w:fill="auto"/>
            <w:noWrap/>
            <w:vAlign w:val="bottom"/>
            <w:hideMark/>
          </w:tcPr>
          <w:p w14:paraId="4CB3DF50"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100</w:t>
            </w:r>
          </w:p>
        </w:tc>
        <w:tc>
          <w:tcPr>
            <w:tcW w:w="2237" w:type="dxa"/>
            <w:tcBorders>
              <w:top w:val="nil"/>
              <w:left w:val="nil"/>
              <w:bottom w:val="nil"/>
              <w:right w:val="nil"/>
            </w:tcBorders>
            <w:shd w:val="clear" w:color="auto" w:fill="auto"/>
            <w:noWrap/>
            <w:vAlign w:val="bottom"/>
            <w:hideMark/>
          </w:tcPr>
          <w:p w14:paraId="2B8AD4A8"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90</w:t>
            </w:r>
          </w:p>
        </w:tc>
        <w:tc>
          <w:tcPr>
            <w:tcW w:w="1842" w:type="dxa"/>
            <w:tcBorders>
              <w:top w:val="nil"/>
              <w:left w:val="nil"/>
              <w:bottom w:val="nil"/>
              <w:right w:val="nil"/>
            </w:tcBorders>
            <w:shd w:val="clear" w:color="auto" w:fill="auto"/>
            <w:noWrap/>
            <w:vAlign w:val="bottom"/>
            <w:hideMark/>
          </w:tcPr>
          <w:p w14:paraId="080D0DA5"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10</w:t>
            </w:r>
          </w:p>
        </w:tc>
      </w:tr>
      <w:tr w:rsidR="00C81F32" w:rsidRPr="007A52A3" w14:paraId="3861AE25" w14:textId="77777777" w:rsidTr="00214121">
        <w:trPr>
          <w:trHeight w:val="300"/>
        </w:trPr>
        <w:tc>
          <w:tcPr>
            <w:tcW w:w="1700" w:type="dxa"/>
            <w:tcBorders>
              <w:top w:val="nil"/>
              <w:left w:val="nil"/>
              <w:bottom w:val="nil"/>
              <w:right w:val="nil"/>
            </w:tcBorders>
            <w:shd w:val="clear" w:color="auto" w:fill="auto"/>
            <w:noWrap/>
            <w:vAlign w:val="bottom"/>
            <w:hideMark/>
          </w:tcPr>
          <w:p w14:paraId="30A706EB"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31.12.2021</w:t>
            </w:r>
          </w:p>
        </w:tc>
        <w:tc>
          <w:tcPr>
            <w:tcW w:w="1700" w:type="dxa"/>
            <w:tcBorders>
              <w:top w:val="nil"/>
              <w:left w:val="nil"/>
              <w:bottom w:val="nil"/>
              <w:right w:val="nil"/>
            </w:tcBorders>
            <w:shd w:val="clear" w:color="auto" w:fill="auto"/>
            <w:noWrap/>
            <w:vAlign w:val="bottom"/>
            <w:hideMark/>
          </w:tcPr>
          <w:p w14:paraId="12C1419C"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100</w:t>
            </w:r>
          </w:p>
        </w:tc>
        <w:tc>
          <w:tcPr>
            <w:tcW w:w="2237" w:type="dxa"/>
            <w:tcBorders>
              <w:top w:val="nil"/>
              <w:left w:val="nil"/>
              <w:bottom w:val="nil"/>
              <w:right w:val="nil"/>
            </w:tcBorders>
            <w:shd w:val="clear" w:color="auto" w:fill="auto"/>
            <w:noWrap/>
            <w:vAlign w:val="bottom"/>
            <w:hideMark/>
          </w:tcPr>
          <w:p w14:paraId="1AFEC827"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90</w:t>
            </w:r>
          </w:p>
        </w:tc>
        <w:tc>
          <w:tcPr>
            <w:tcW w:w="1842" w:type="dxa"/>
            <w:tcBorders>
              <w:top w:val="nil"/>
              <w:left w:val="nil"/>
              <w:bottom w:val="nil"/>
              <w:right w:val="nil"/>
            </w:tcBorders>
            <w:shd w:val="clear" w:color="auto" w:fill="auto"/>
            <w:noWrap/>
            <w:vAlign w:val="bottom"/>
            <w:hideMark/>
          </w:tcPr>
          <w:p w14:paraId="3B5148C6"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w:t>
            </w:r>
          </w:p>
        </w:tc>
      </w:tr>
    </w:tbl>
    <w:p w14:paraId="16628F98" w14:textId="77777777" w:rsidR="007A52A3" w:rsidRPr="00214121" w:rsidRDefault="007A52A3" w:rsidP="00214121">
      <w:pPr>
        <w:spacing w:line="360" w:lineRule="auto"/>
        <w:rPr>
          <w:rFonts w:ascii="Arial" w:hAnsi="Arial"/>
        </w:rPr>
      </w:pPr>
    </w:p>
    <w:p w14:paraId="5E2B7F00" w14:textId="77777777" w:rsidR="007A52A3" w:rsidRPr="00214121" w:rsidRDefault="007A52A3" w:rsidP="00214121">
      <w:pPr>
        <w:spacing w:line="360" w:lineRule="auto"/>
        <w:rPr>
          <w:rFonts w:ascii="Arial" w:hAnsi="Arial"/>
        </w:rPr>
      </w:pPr>
      <w:r w:rsidRPr="00214121">
        <w:rPr>
          <w:rFonts w:ascii="Arial" w:hAnsi="Arial"/>
        </w:rPr>
        <w:t>To restate the lease incentive to FRS 102, the transitional adjustment at 1 January 2015 is as follows:</w:t>
      </w:r>
    </w:p>
    <w:p w14:paraId="45B41976" w14:textId="77777777" w:rsidR="007A52A3" w:rsidRPr="00214121" w:rsidRDefault="007A52A3" w:rsidP="00214121">
      <w:pPr>
        <w:spacing w:line="360" w:lineRule="auto"/>
        <w:rPr>
          <w:rFonts w:ascii="Arial" w:hAnsi="Arial"/>
        </w:rPr>
      </w:pPr>
    </w:p>
    <w:p w14:paraId="2941A460" w14:textId="2D78C623" w:rsidR="007A52A3" w:rsidRPr="00214121" w:rsidRDefault="007A52A3" w:rsidP="00214121">
      <w:pPr>
        <w:spacing w:line="360" w:lineRule="auto"/>
        <w:rPr>
          <w:rFonts w:ascii="Arial" w:hAnsi="Arial"/>
        </w:rPr>
      </w:pPr>
      <w:r w:rsidRPr="00214121">
        <w:rPr>
          <w:rFonts w:ascii="Arial" w:hAnsi="Arial"/>
        </w:rPr>
        <w:t xml:space="preserve">Dr retained earnings </w:t>
      </w:r>
      <w:r w:rsidRPr="00214121">
        <w:rPr>
          <w:rFonts w:ascii="Arial" w:hAnsi="Arial"/>
        </w:rPr>
        <w:tab/>
      </w:r>
      <w:r w:rsidRPr="00214121">
        <w:rPr>
          <w:rFonts w:ascii="Arial" w:hAnsi="Arial"/>
        </w:rPr>
        <w:tab/>
      </w:r>
      <w:r w:rsidR="00EF3CA1">
        <w:rPr>
          <w:rFonts w:ascii="Arial" w:hAnsi="Arial"/>
        </w:rPr>
        <w:tab/>
      </w:r>
      <w:r w:rsidRPr="00214121">
        <w:rPr>
          <w:rFonts w:ascii="Arial" w:hAnsi="Arial"/>
        </w:rPr>
        <w:t>£30k</w:t>
      </w:r>
    </w:p>
    <w:p w14:paraId="354DD142" w14:textId="2673519E" w:rsidR="007A52A3" w:rsidRPr="00214121" w:rsidRDefault="007A52A3" w:rsidP="00214121">
      <w:pPr>
        <w:spacing w:line="360" w:lineRule="auto"/>
        <w:rPr>
          <w:rFonts w:ascii="Arial" w:hAnsi="Arial"/>
        </w:rPr>
      </w:pPr>
      <w:r w:rsidRPr="00214121">
        <w:rPr>
          <w:rFonts w:ascii="Arial" w:hAnsi="Arial"/>
        </w:rPr>
        <w:t>Cr balance sheet incentive</w:t>
      </w:r>
      <w:r w:rsidRPr="00214121">
        <w:rPr>
          <w:rFonts w:ascii="Arial" w:hAnsi="Arial"/>
        </w:rPr>
        <w:tab/>
      </w:r>
      <w:r w:rsidR="00EF3CA1">
        <w:rPr>
          <w:rFonts w:ascii="Arial" w:hAnsi="Arial"/>
        </w:rPr>
        <w:tab/>
      </w:r>
      <w:r w:rsidRPr="00214121">
        <w:rPr>
          <w:rFonts w:ascii="Arial" w:hAnsi="Arial"/>
        </w:rPr>
        <w:t>£30k</w:t>
      </w:r>
    </w:p>
    <w:p w14:paraId="05619A2F" w14:textId="6D9B6883" w:rsidR="007A52A3" w:rsidRPr="00214121" w:rsidRDefault="00432B45" w:rsidP="00214121">
      <w:pPr>
        <w:spacing w:line="360" w:lineRule="auto"/>
        <w:rPr>
          <w:rFonts w:ascii="Arial" w:hAnsi="Arial"/>
          <w:i/>
        </w:rPr>
      </w:pPr>
      <w:r>
        <w:rPr>
          <w:rFonts w:ascii="Arial" w:hAnsi="Arial"/>
          <w:i/>
        </w:rPr>
        <w:t>b</w:t>
      </w:r>
      <w:r w:rsidR="007A52A3" w:rsidRPr="00214121">
        <w:rPr>
          <w:rFonts w:ascii="Arial" w:hAnsi="Arial"/>
          <w:i/>
        </w:rPr>
        <w:t xml:space="preserve">eing </w:t>
      </w:r>
      <w:r w:rsidR="00CB718D">
        <w:rPr>
          <w:rFonts w:ascii="Arial" w:hAnsi="Arial"/>
          <w:i/>
        </w:rPr>
        <w:t xml:space="preserve">the </w:t>
      </w:r>
      <w:r w:rsidR="007A52A3" w:rsidRPr="00214121">
        <w:rPr>
          <w:rFonts w:ascii="Arial" w:hAnsi="Arial"/>
          <w:i/>
        </w:rPr>
        <w:t>difference between £70k at 31.12.2014 under FRS 102 and £40k under previous UK GAAP</w:t>
      </w:r>
    </w:p>
    <w:p w14:paraId="0C64C250" w14:textId="77777777" w:rsidR="007A52A3" w:rsidRPr="00214121" w:rsidRDefault="007A52A3" w:rsidP="00214121">
      <w:pPr>
        <w:spacing w:line="360" w:lineRule="auto"/>
        <w:rPr>
          <w:rFonts w:ascii="Arial" w:hAnsi="Arial"/>
          <w:i/>
        </w:rPr>
      </w:pPr>
    </w:p>
    <w:p w14:paraId="107F243F" w14:textId="77777777" w:rsidR="007A52A3" w:rsidRPr="00214121" w:rsidRDefault="007A52A3" w:rsidP="00214121">
      <w:pPr>
        <w:spacing w:line="360" w:lineRule="auto"/>
        <w:rPr>
          <w:rFonts w:ascii="Arial" w:hAnsi="Arial"/>
        </w:rPr>
      </w:pPr>
      <w:r w:rsidRPr="00214121">
        <w:rPr>
          <w:rFonts w:ascii="Arial" w:hAnsi="Arial"/>
        </w:rPr>
        <w:t xml:space="preserve">The journal above would restate the lease incentive in the opening FRS 102 balance sheet to what it would have been had FRS 102 always been the financial reporting framework, with the corresponding entry being taken to retained earnings (reserves) as per paragraph 35.8 of FRS 102. </w:t>
      </w:r>
    </w:p>
    <w:p w14:paraId="789E4CAA" w14:textId="77777777" w:rsidR="007A52A3" w:rsidRPr="00214121" w:rsidRDefault="007A52A3" w:rsidP="00214121">
      <w:pPr>
        <w:spacing w:line="360" w:lineRule="auto"/>
        <w:rPr>
          <w:rFonts w:ascii="Arial" w:hAnsi="Arial"/>
        </w:rPr>
      </w:pPr>
    </w:p>
    <w:p w14:paraId="74988F56" w14:textId="42BE07BC" w:rsidR="007A52A3" w:rsidRPr="00214121" w:rsidRDefault="007A52A3" w:rsidP="00214121">
      <w:pPr>
        <w:spacing w:line="360" w:lineRule="auto"/>
        <w:rPr>
          <w:rFonts w:ascii="Arial" w:hAnsi="Arial"/>
          <w:i/>
        </w:rPr>
      </w:pPr>
      <w:r w:rsidRPr="00214121">
        <w:rPr>
          <w:rFonts w:ascii="Arial" w:hAnsi="Arial"/>
          <w:i/>
        </w:rPr>
        <w:t xml:space="preserve">Option 2: </w:t>
      </w:r>
      <w:r w:rsidR="0089115E">
        <w:rPr>
          <w:rFonts w:ascii="Arial" w:hAnsi="Arial"/>
          <w:i/>
        </w:rPr>
        <w:t>c</w:t>
      </w:r>
      <w:r w:rsidRPr="00214121">
        <w:rPr>
          <w:rFonts w:ascii="Arial" w:hAnsi="Arial"/>
          <w:i/>
        </w:rPr>
        <w:t>ontinue with previous UK GAAP treatment</w:t>
      </w:r>
    </w:p>
    <w:p w14:paraId="1BBFC450" w14:textId="2F9BDF07" w:rsidR="007A52A3" w:rsidRPr="00214121" w:rsidRDefault="007A52A3" w:rsidP="00214121">
      <w:pPr>
        <w:spacing w:line="360" w:lineRule="auto"/>
        <w:rPr>
          <w:rFonts w:ascii="Arial" w:hAnsi="Arial"/>
        </w:rPr>
      </w:pPr>
      <w:r w:rsidRPr="00214121">
        <w:rPr>
          <w:rFonts w:ascii="Arial" w:hAnsi="Arial"/>
        </w:rPr>
        <w:t>Company B can continue to amortise the lease incentive up to the point at which rentals revert to market rate (</w:t>
      </w:r>
      <w:r w:rsidR="00F75F1F">
        <w:rPr>
          <w:rFonts w:ascii="Arial" w:hAnsi="Arial"/>
        </w:rPr>
        <w:t>ie</w:t>
      </w:r>
      <w:r w:rsidRPr="00214121">
        <w:rPr>
          <w:rFonts w:ascii="Arial" w:hAnsi="Arial"/>
        </w:rPr>
        <w:t xml:space="preserve"> up to the end of year five).</w:t>
      </w:r>
      <w:r>
        <w:rPr>
          <w:rFonts w:ascii="Arial" w:hAnsi="Arial"/>
        </w:rPr>
        <w:t xml:space="preserve"> </w:t>
      </w:r>
      <w:r w:rsidRPr="00214121">
        <w:rPr>
          <w:rFonts w:ascii="Arial" w:hAnsi="Arial"/>
        </w:rPr>
        <w:t>This exemption is available for leases that have been entered into prior to the date of transition to FRS 102.</w:t>
      </w:r>
    </w:p>
    <w:p w14:paraId="20E97C6E" w14:textId="77777777" w:rsidR="00E8019B" w:rsidRDefault="00E8019B" w:rsidP="00214121">
      <w:pPr>
        <w:pStyle w:val="Heading1"/>
        <w:spacing w:line="360" w:lineRule="auto"/>
        <w:rPr>
          <w:rFonts w:ascii="Arial" w:hAnsi="Arial"/>
        </w:rPr>
      </w:pPr>
    </w:p>
    <w:p w14:paraId="3B46DCB6" w14:textId="3247067A" w:rsidR="007A52A3" w:rsidRPr="00214121" w:rsidRDefault="007A52A3" w:rsidP="00214121">
      <w:pPr>
        <w:spacing w:line="360" w:lineRule="auto"/>
        <w:rPr>
          <w:rFonts w:ascii="Arial" w:hAnsi="Arial"/>
          <w:b/>
          <w:bCs/>
        </w:rPr>
      </w:pPr>
      <w:r w:rsidRPr="00214121">
        <w:rPr>
          <w:rFonts w:ascii="Arial" w:hAnsi="Arial"/>
          <w:b/>
          <w:bCs/>
          <w:caps/>
        </w:rPr>
        <w:t>Transition to FRS 102: worked example</w:t>
      </w:r>
    </w:p>
    <w:p w14:paraId="288E14A6" w14:textId="427D42CA" w:rsidR="007A52A3" w:rsidRPr="00214121" w:rsidRDefault="007A52A3" w:rsidP="00214121">
      <w:pPr>
        <w:spacing w:line="360" w:lineRule="auto"/>
        <w:rPr>
          <w:rFonts w:ascii="Arial" w:hAnsi="Arial"/>
        </w:rPr>
      </w:pPr>
      <w:r w:rsidRPr="00214121">
        <w:rPr>
          <w:rFonts w:ascii="Arial" w:hAnsi="Arial"/>
        </w:rPr>
        <w:t>The concepts in Section 35 can be fairly complicated in some situations.</w:t>
      </w:r>
      <w:r>
        <w:rPr>
          <w:rFonts w:ascii="Arial" w:hAnsi="Arial"/>
        </w:rPr>
        <w:t xml:space="preserve"> </w:t>
      </w:r>
      <w:r w:rsidRPr="00214121">
        <w:rPr>
          <w:rFonts w:ascii="Arial" w:hAnsi="Arial"/>
        </w:rPr>
        <w:t>However, as previous UK GAAP was largely (but not always) converged to the principles found in IFRSs, some entities may find that they only have a small number of transitional and prior</w:t>
      </w:r>
      <w:r w:rsidR="00986037">
        <w:rPr>
          <w:rFonts w:ascii="Arial" w:hAnsi="Arial"/>
        </w:rPr>
        <w:t>-</w:t>
      </w:r>
      <w:r w:rsidRPr="00214121">
        <w:rPr>
          <w:rFonts w:ascii="Arial" w:hAnsi="Arial"/>
        </w:rPr>
        <w:t>year adjustments to deal with on transition</w:t>
      </w:r>
      <w:r w:rsidR="00F8233D">
        <w:rPr>
          <w:rFonts w:ascii="Arial" w:hAnsi="Arial"/>
        </w:rPr>
        <w:t xml:space="preserve"> (</w:t>
      </w:r>
      <w:r w:rsidRPr="00214121">
        <w:rPr>
          <w:rFonts w:ascii="Arial" w:hAnsi="Arial"/>
        </w:rPr>
        <w:t>although some entities may find</w:t>
      </w:r>
      <w:r w:rsidR="00F8233D">
        <w:rPr>
          <w:rFonts w:ascii="Arial" w:hAnsi="Arial"/>
        </w:rPr>
        <w:t xml:space="preserve"> that</w:t>
      </w:r>
      <w:r w:rsidRPr="00214121">
        <w:rPr>
          <w:rFonts w:ascii="Arial" w:hAnsi="Arial"/>
        </w:rPr>
        <w:t xml:space="preserve"> they have several</w:t>
      </w:r>
      <w:r w:rsidR="00F8233D">
        <w:rPr>
          <w:rFonts w:ascii="Arial" w:hAnsi="Arial"/>
        </w:rPr>
        <w:t>)</w:t>
      </w:r>
      <w:r w:rsidRPr="00214121">
        <w:rPr>
          <w:rFonts w:ascii="Arial" w:hAnsi="Arial"/>
        </w:rPr>
        <w:t>.</w:t>
      </w:r>
      <w:r>
        <w:rPr>
          <w:rFonts w:ascii="Arial" w:hAnsi="Arial"/>
        </w:rPr>
        <w:t xml:space="preserve"> </w:t>
      </w:r>
      <w:r w:rsidRPr="00214121">
        <w:rPr>
          <w:rFonts w:ascii="Arial" w:hAnsi="Arial"/>
        </w:rPr>
        <w:t xml:space="preserve">An example of how to apply the concepts in </w:t>
      </w:r>
      <w:r w:rsidR="00B219A6">
        <w:rPr>
          <w:rFonts w:ascii="Arial" w:hAnsi="Arial"/>
        </w:rPr>
        <w:t>s</w:t>
      </w:r>
      <w:r w:rsidRPr="00214121">
        <w:rPr>
          <w:rFonts w:ascii="Arial" w:hAnsi="Arial"/>
        </w:rPr>
        <w:t>ection 35 is shown below using a fictitious company, Smallco Ltd:</w:t>
      </w:r>
    </w:p>
    <w:p w14:paraId="6DBAF8AC" w14:textId="77777777" w:rsidR="007A52A3" w:rsidRPr="00214121" w:rsidRDefault="007A52A3" w:rsidP="00214121">
      <w:pPr>
        <w:spacing w:line="360" w:lineRule="auto"/>
        <w:rPr>
          <w:rFonts w:ascii="Arial" w:hAnsi="Arial"/>
        </w:rPr>
      </w:pPr>
    </w:p>
    <w:p w14:paraId="38E2CC8E" w14:textId="682AC8A4" w:rsidR="007A52A3" w:rsidRPr="00214121" w:rsidRDefault="007A52A3" w:rsidP="00214121">
      <w:pPr>
        <w:spacing w:line="360" w:lineRule="auto"/>
        <w:rPr>
          <w:rFonts w:ascii="Arial" w:hAnsi="Arial"/>
        </w:rPr>
      </w:pPr>
      <w:r w:rsidRPr="00214121">
        <w:rPr>
          <w:rFonts w:ascii="Arial" w:hAnsi="Arial"/>
        </w:rPr>
        <w:t>Smallco Ltd is preparing its first set of FRS 102 financial statements for the year</w:t>
      </w:r>
      <w:r w:rsidR="002632BC">
        <w:rPr>
          <w:rFonts w:ascii="Arial" w:hAnsi="Arial"/>
        </w:rPr>
        <w:t xml:space="preserve"> </w:t>
      </w:r>
      <w:r w:rsidRPr="00214121">
        <w:rPr>
          <w:rFonts w:ascii="Arial" w:hAnsi="Arial"/>
        </w:rPr>
        <w:t>ended 30 April 2017.</w:t>
      </w:r>
      <w:r>
        <w:rPr>
          <w:rFonts w:ascii="Arial" w:hAnsi="Arial"/>
        </w:rPr>
        <w:t xml:space="preserve"> </w:t>
      </w:r>
      <w:r w:rsidRPr="00214121">
        <w:rPr>
          <w:rFonts w:ascii="Arial" w:hAnsi="Arial"/>
        </w:rPr>
        <w:t>The date of transition is 1 May 2015 and the opening balance sheet position as at that date is shown below:</w:t>
      </w:r>
    </w:p>
    <w:p w14:paraId="6FCE36FB" w14:textId="77777777" w:rsidR="007A52A3" w:rsidRPr="00214121" w:rsidRDefault="007A52A3" w:rsidP="00214121">
      <w:pPr>
        <w:spacing w:line="360" w:lineRule="auto"/>
        <w:rPr>
          <w:rFonts w:ascii="Arial" w:hAnsi="Arial"/>
        </w:rPr>
      </w:pPr>
    </w:p>
    <w:tbl>
      <w:tblPr>
        <w:tblW w:w="5000" w:type="pct"/>
        <w:tblLook w:val="04A0" w:firstRow="1" w:lastRow="0" w:firstColumn="1" w:lastColumn="0" w:noHBand="0" w:noVBand="1"/>
      </w:tblPr>
      <w:tblGrid>
        <w:gridCol w:w="1821"/>
        <w:gridCol w:w="1817"/>
        <w:gridCol w:w="1403"/>
        <w:gridCol w:w="1403"/>
        <w:gridCol w:w="923"/>
        <w:gridCol w:w="1244"/>
        <w:gridCol w:w="1244"/>
      </w:tblGrid>
      <w:tr w:rsidR="007A52A3" w:rsidRPr="007A52A3" w14:paraId="21460B3C" w14:textId="77777777" w:rsidTr="00B9592E">
        <w:trPr>
          <w:trHeight w:val="300"/>
        </w:trPr>
        <w:tc>
          <w:tcPr>
            <w:tcW w:w="714" w:type="pct"/>
            <w:tcBorders>
              <w:top w:val="nil"/>
              <w:left w:val="nil"/>
              <w:bottom w:val="nil"/>
              <w:right w:val="nil"/>
            </w:tcBorders>
            <w:shd w:val="clear" w:color="auto" w:fill="auto"/>
            <w:noWrap/>
            <w:vAlign w:val="bottom"/>
            <w:hideMark/>
          </w:tcPr>
          <w:p w14:paraId="55201B64" w14:textId="77777777" w:rsidR="007A52A3" w:rsidRPr="00214121" w:rsidRDefault="007A52A3" w:rsidP="00214121">
            <w:pPr>
              <w:spacing w:line="360" w:lineRule="auto"/>
              <w:rPr>
                <w:rFonts w:ascii="Arial" w:hAnsi="Arial"/>
                <w:b/>
                <w:bCs/>
                <w:color w:val="000000"/>
                <w:lang w:val="en-US"/>
              </w:rPr>
            </w:pPr>
            <w:r w:rsidRPr="00214121">
              <w:rPr>
                <w:rFonts w:ascii="Arial" w:hAnsi="Arial"/>
                <w:b/>
                <w:bCs/>
                <w:color w:val="000000"/>
                <w:lang w:val="en-US"/>
              </w:rPr>
              <w:t>Smallco Ltd</w:t>
            </w:r>
          </w:p>
        </w:tc>
        <w:tc>
          <w:tcPr>
            <w:tcW w:w="714" w:type="pct"/>
            <w:tcBorders>
              <w:top w:val="nil"/>
              <w:left w:val="nil"/>
              <w:bottom w:val="nil"/>
              <w:right w:val="nil"/>
            </w:tcBorders>
            <w:shd w:val="clear" w:color="auto" w:fill="auto"/>
            <w:noWrap/>
            <w:vAlign w:val="bottom"/>
            <w:hideMark/>
          </w:tcPr>
          <w:p w14:paraId="4BC7ADDC" w14:textId="77777777" w:rsidR="007A52A3" w:rsidRPr="00214121" w:rsidRDefault="007A52A3" w:rsidP="00214121">
            <w:pPr>
              <w:spacing w:line="360" w:lineRule="auto"/>
              <w:rPr>
                <w:rFonts w:ascii="Arial" w:hAnsi="Arial"/>
                <w:b/>
                <w:bCs/>
                <w:color w:val="000000"/>
                <w:lang w:val="en-US"/>
              </w:rPr>
            </w:pPr>
          </w:p>
        </w:tc>
        <w:tc>
          <w:tcPr>
            <w:tcW w:w="714" w:type="pct"/>
            <w:tcBorders>
              <w:top w:val="nil"/>
              <w:left w:val="nil"/>
              <w:bottom w:val="nil"/>
              <w:right w:val="nil"/>
            </w:tcBorders>
            <w:shd w:val="clear" w:color="auto" w:fill="auto"/>
            <w:noWrap/>
            <w:vAlign w:val="bottom"/>
            <w:hideMark/>
          </w:tcPr>
          <w:p w14:paraId="4665A54B" w14:textId="77777777" w:rsidR="007A52A3" w:rsidRPr="00214121" w:rsidRDefault="007A52A3" w:rsidP="00214121">
            <w:pPr>
              <w:spacing w:line="360" w:lineRule="auto"/>
              <w:rPr>
                <w:rFonts w:ascii="Arial" w:hAnsi="Arial"/>
                <w:lang w:val="en-US"/>
              </w:rPr>
            </w:pPr>
          </w:p>
        </w:tc>
        <w:tc>
          <w:tcPr>
            <w:tcW w:w="714" w:type="pct"/>
            <w:tcBorders>
              <w:top w:val="nil"/>
              <w:left w:val="nil"/>
              <w:bottom w:val="nil"/>
              <w:right w:val="nil"/>
            </w:tcBorders>
            <w:shd w:val="clear" w:color="auto" w:fill="auto"/>
            <w:noWrap/>
            <w:vAlign w:val="bottom"/>
            <w:hideMark/>
          </w:tcPr>
          <w:p w14:paraId="4482F5F4" w14:textId="77777777" w:rsidR="007A52A3" w:rsidRPr="00214121" w:rsidRDefault="007A52A3" w:rsidP="00214121">
            <w:pPr>
              <w:spacing w:line="360" w:lineRule="auto"/>
              <w:rPr>
                <w:rFonts w:ascii="Arial" w:hAnsi="Arial"/>
                <w:lang w:val="en-US"/>
              </w:rPr>
            </w:pPr>
          </w:p>
        </w:tc>
        <w:tc>
          <w:tcPr>
            <w:tcW w:w="714" w:type="pct"/>
            <w:tcBorders>
              <w:top w:val="nil"/>
              <w:left w:val="nil"/>
              <w:bottom w:val="nil"/>
              <w:right w:val="nil"/>
            </w:tcBorders>
            <w:shd w:val="clear" w:color="auto" w:fill="auto"/>
            <w:noWrap/>
            <w:vAlign w:val="bottom"/>
            <w:hideMark/>
          </w:tcPr>
          <w:p w14:paraId="6F2264F5" w14:textId="77777777" w:rsidR="007A52A3" w:rsidRPr="00214121" w:rsidRDefault="007A52A3" w:rsidP="00214121">
            <w:pPr>
              <w:spacing w:line="360" w:lineRule="auto"/>
              <w:rPr>
                <w:rFonts w:ascii="Arial" w:hAnsi="Arial"/>
                <w:lang w:val="en-US"/>
              </w:rPr>
            </w:pPr>
          </w:p>
        </w:tc>
        <w:tc>
          <w:tcPr>
            <w:tcW w:w="714" w:type="pct"/>
            <w:tcBorders>
              <w:top w:val="nil"/>
              <w:left w:val="nil"/>
              <w:bottom w:val="nil"/>
              <w:right w:val="nil"/>
            </w:tcBorders>
            <w:shd w:val="clear" w:color="auto" w:fill="auto"/>
            <w:noWrap/>
            <w:vAlign w:val="bottom"/>
            <w:hideMark/>
          </w:tcPr>
          <w:p w14:paraId="15880A9C" w14:textId="77777777" w:rsidR="007A52A3" w:rsidRPr="00214121" w:rsidRDefault="007A52A3" w:rsidP="00214121">
            <w:pPr>
              <w:spacing w:line="360" w:lineRule="auto"/>
              <w:jc w:val="center"/>
              <w:rPr>
                <w:rFonts w:ascii="Arial" w:hAnsi="Arial"/>
                <w:lang w:val="en-US"/>
              </w:rPr>
            </w:pPr>
          </w:p>
        </w:tc>
        <w:tc>
          <w:tcPr>
            <w:tcW w:w="714" w:type="pct"/>
            <w:tcBorders>
              <w:top w:val="nil"/>
              <w:left w:val="nil"/>
              <w:bottom w:val="nil"/>
              <w:right w:val="nil"/>
            </w:tcBorders>
            <w:shd w:val="clear" w:color="auto" w:fill="auto"/>
            <w:noWrap/>
            <w:vAlign w:val="bottom"/>
            <w:hideMark/>
          </w:tcPr>
          <w:p w14:paraId="1F0BC30A" w14:textId="77777777" w:rsidR="007A52A3" w:rsidRPr="00214121" w:rsidRDefault="007A52A3" w:rsidP="00214121">
            <w:pPr>
              <w:spacing w:line="360" w:lineRule="auto"/>
              <w:jc w:val="right"/>
              <w:rPr>
                <w:rFonts w:ascii="Arial" w:hAnsi="Arial"/>
                <w:lang w:val="en-US"/>
              </w:rPr>
            </w:pPr>
          </w:p>
        </w:tc>
      </w:tr>
      <w:tr w:rsidR="007A52A3" w:rsidRPr="007A52A3" w14:paraId="21B8C78D" w14:textId="77777777" w:rsidTr="00214121">
        <w:trPr>
          <w:trHeight w:val="300"/>
        </w:trPr>
        <w:tc>
          <w:tcPr>
            <w:tcW w:w="1429" w:type="pct"/>
            <w:gridSpan w:val="2"/>
            <w:tcBorders>
              <w:top w:val="nil"/>
              <w:left w:val="nil"/>
              <w:right w:val="nil"/>
            </w:tcBorders>
            <w:shd w:val="clear" w:color="auto" w:fill="auto"/>
            <w:noWrap/>
            <w:vAlign w:val="bottom"/>
            <w:hideMark/>
          </w:tcPr>
          <w:p w14:paraId="1729C3E8" w14:textId="77777777" w:rsidR="007A52A3" w:rsidRPr="00214121" w:rsidRDefault="007A52A3" w:rsidP="00214121">
            <w:pPr>
              <w:spacing w:line="360" w:lineRule="auto"/>
              <w:rPr>
                <w:rFonts w:ascii="Arial" w:hAnsi="Arial"/>
                <w:b/>
                <w:bCs/>
                <w:color w:val="000000"/>
                <w:lang w:val="en-US"/>
              </w:rPr>
            </w:pPr>
            <w:r w:rsidRPr="00214121">
              <w:rPr>
                <w:rFonts w:ascii="Arial" w:hAnsi="Arial"/>
                <w:b/>
                <w:bCs/>
                <w:color w:val="000000"/>
                <w:lang w:val="en-US"/>
              </w:rPr>
              <w:t xml:space="preserve">Trial balance as at 1 May 2015 </w:t>
            </w:r>
          </w:p>
        </w:tc>
        <w:tc>
          <w:tcPr>
            <w:tcW w:w="714" w:type="pct"/>
            <w:tcBorders>
              <w:top w:val="nil"/>
              <w:left w:val="nil"/>
              <w:right w:val="nil"/>
            </w:tcBorders>
            <w:shd w:val="clear" w:color="auto" w:fill="auto"/>
            <w:noWrap/>
            <w:vAlign w:val="bottom"/>
            <w:hideMark/>
          </w:tcPr>
          <w:p w14:paraId="384D5D38" w14:textId="77777777" w:rsidR="007A52A3" w:rsidRPr="00214121" w:rsidRDefault="007A52A3" w:rsidP="00214121">
            <w:pPr>
              <w:spacing w:line="360" w:lineRule="auto"/>
              <w:rPr>
                <w:rFonts w:ascii="Arial" w:hAnsi="Arial"/>
                <w:b/>
                <w:bCs/>
                <w:color w:val="000000"/>
                <w:lang w:val="en-US"/>
              </w:rPr>
            </w:pPr>
          </w:p>
        </w:tc>
        <w:tc>
          <w:tcPr>
            <w:tcW w:w="714" w:type="pct"/>
            <w:tcBorders>
              <w:top w:val="nil"/>
              <w:left w:val="nil"/>
              <w:right w:val="nil"/>
            </w:tcBorders>
            <w:shd w:val="clear" w:color="auto" w:fill="auto"/>
            <w:noWrap/>
            <w:vAlign w:val="bottom"/>
            <w:hideMark/>
          </w:tcPr>
          <w:p w14:paraId="0AFE0131" w14:textId="77777777" w:rsidR="007A52A3" w:rsidRPr="00214121" w:rsidRDefault="007A52A3" w:rsidP="00214121">
            <w:pPr>
              <w:spacing w:line="360" w:lineRule="auto"/>
              <w:rPr>
                <w:rFonts w:ascii="Arial" w:hAnsi="Arial"/>
                <w:lang w:val="en-US"/>
              </w:rPr>
            </w:pPr>
          </w:p>
        </w:tc>
        <w:tc>
          <w:tcPr>
            <w:tcW w:w="714" w:type="pct"/>
            <w:tcBorders>
              <w:top w:val="nil"/>
              <w:left w:val="nil"/>
              <w:right w:val="nil"/>
            </w:tcBorders>
            <w:shd w:val="clear" w:color="auto" w:fill="auto"/>
            <w:noWrap/>
            <w:vAlign w:val="bottom"/>
            <w:hideMark/>
          </w:tcPr>
          <w:p w14:paraId="4D807217" w14:textId="77777777" w:rsidR="007A52A3" w:rsidRPr="00214121" w:rsidRDefault="007A52A3" w:rsidP="00214121">
            <w:pPr>
              <w:spacing w:line="360" w:lineRule="auto"/>
              <w:rPr>
                <w:rFonts w:ascii="Arial" w:hAnsi="Arial"/>
                <w:lang w:val="en-US"/>
              </w:rPr>
            </w:pPr>
          </w:p>
        </w:tc>
        <w:tc>
          <w:tcPr>
            <w:tcW w:w="714" w:type="pct"/>
            <w:tcBorders>
              <w:top w:val="nil"/>
              <w:left w:val="nil"/>
              <w:right w:val="nil"/>
            </w:tcBorders>
            <w:shd w:val="clear" w:color="auto" w:fill="auto"/>
            <w:noWrap/>
            <w:vAlign w:val="bottom"/>
            <w:hideMark/>
          </w:tcPr>
          <w:p w14:paraId="53A5CC86" w14:textId="77777777" w:rsidR="007A52A3" w:rsidRPr="00214121" w:rsidRDefault="007A52A3" w:rsidP="00214121">
            <w:pPr>
              <w:spacing w:line="360" w:lineRule="auto"/>
              <w:jc w:val="center"/>
              <w:rPr>
                <w:rFonts w:ascii="Arial" w:hAnsi="Arial"/>
                <w:lang w:val="en-US"/>
              </w:rPr>
            </w:pPr>
          </w:p>
        </w:tc>
        <w:tc>
          <w:tcPr>
            <w:tcW w:w="714" w:type="pct"/>
            <w:tcBorders>
              <w:top w:val="nil"/>
              <w:left w:val="nil"/>
              <w:right w:val="nil"/>
            </w:tcBorders>
            <w:shd w:val="clear" w:color="auto" w:fill="auto"/>
            <w:noWrap/>
            <w:vAlign w:val="bottom"/>
            <w:hideMark/>
          </w:tcPr>
          <w:p w14:paraId="1AA4074D" w14:textId="77777777" w:rsidR="007A52A3" w:rsidRPr="00214121" w:rsidRDefault="007A52A3" w:rsidP="00214121">
            <w:pPr>
              <w:spacing w:line="360" w:lineRule="auto"/>
              <w:jc w:val="right"/>
              <w:rPr>
                <w:rFonts w:ascii="Arial" w:hAnsi="Arial"/>
                <w:lang w:val="en-US"/>
              </w:rPr>
            </w:pPr>
          </w:p>
        </w:tc>
      </w:tr>
      <w:tr w:rsidR="007A52A3" w:rsidRPr="00800520" w14:paraId="0502172E" w14:textId="77777777" w:rsidTr="00214121">
        <w:trPr>
          <w:trHeight w:val="300"/>
        </w:trPr>
        <w:tc>
          <w:tcPr>
            <w:tcW w:w="714" w:type="pct"/>
            <w:shd w:val="clear" w:color="auto" w:fill="auto"/>
            <w:noWrap/>
            <w:vAlign w:val="bottom"/>
            <w:hideMark/>
          </w:tcPr>
          <w:p w14:paraId="48CC3700" w14:textId="77777777" w:rsidR="007A52A3" w:rsidRPr="00214121" w:rsidRDefault="007A52A3" w:rsidP="00214121">
            <w:pPr>
              <w:jc w:val="right"/>
              <w:rPr>
                <w:rFonts w:ascii="Arial" w:hAnsi="Arial"/>
                <w:sz w:val="22"/>
                <w:szCs w:val="22"/>
                <w:lang w:val="en-US"/>
              </w:rPr>
            </w:pPr>
          </w:p>
        </w:tc>
        <w:tc>
          <w:tcPr>
            <w:tcW w:w="714" w:type="pct"/>
            <w:shd w:val="clear" w:color="auto" w:fill="auto"/>
            <w:noWrap/>
            <w:vAlign w:val="bottom"/>
            <w:hideMark/>
          </w:tcPr>
          <w:p w14:paraId="5D66DF7A" w14:textId="77777777" w:rsidR="007A52A3" w:rsidRPr="00214121" w:rsidRDefault="007A52A3" w:rsidP="00214121">
            <w:pPr>
              <w:rPr>
                <w:rFonts w:ascii="Arial" w:hAnsi="Arial"/>
                <w:sz w:val="22"/>
                <w:szCs w:val="22"/>
                <w:lang w:val="en-US"/>
              </w:rPr>
            </w:pPr>
          </w:p>
        </w:tc>
        <w:tc>
          <w:tcPr>
            <w:tcW w:w="714" w:type="pct"/>
            <w:shd w:val="clear" w:color="auto" w:fill="auto"/>
            <w:noWrap/>
            <w:vAlign w:val="bottom"/>
            <w:hideMark/>
          </w:tcPr>
          <w:p w14:paraId="4E983B6A" w14:textId="77777777" w:rsidR="007A52A3" w:rsidRPr="00214121" w:rsidRDefault="007A52A3" w:rsidP="00214121">
            <w:pPr>
              <w:rPr>
                <w:rFonts w:ascii="Arial" w:hAnsi="Arial"/>
                <w:sz w:val="22"/>
                <w:szCs w:val="22"/>
                <w:lang w:val="en-US"/>
              </w:rPr>
            </w:pPr>
          </w:p>
        </w:tc>
        <w:tc>
          <w:tcPr>
            <w:tcW w:w="714" w:type="pct"/>
            <w:shd w:val="clear" w:color="auto" w:fill="auto"/>
            <w:noWrap/>
            <w:vAlign w:val="bottom"/>
            <w:hideMark/>
          </w:tcPr>
          <w:p w14:paraId="412C2128" w14:textId="77777777" w:rsidR="007A52A3" w:rsidRPr="00214121" w:rsidRDefault="007A52A3" w:rsidP="00214121">
            <w:pPr>
              <w:rPr>
                <w:rFonts w:ascii="Arial" w:hAnsi="Arial"/>
                <w:sz w:val="22"/>
                <w:szCs w:val="22"/>
                <w:lang w:val="en-US"/>
              </w:rPr>
            </w:pPr>
          </w:p>
        </w:tc>
        <w:tc>
          <w:tcPr>
            <w:tcW w:w="714" w:type="pct"/>
            <w:shd w:val="clear" w:color="auto" w:fill="auto"/>
            <w:noWrap/>
            <w:vAlign w:val="bottom"/>
            <w:hideMark/>
          </w:tcPr>
          <w:p w14:paraId="5500D897" w14:textId="77777777" w:rsidR="007A52A3" w:rsidRPr="00214121" w:rsidRDefault="007A52A3" w:rsidP="00214121">
            <w:pPr>
              <w:jc w:val="center"/>
              <w:rPr>
                <w:rFonts w:ascii="Arial" w:hAnsi="Arial"/>
                <w:color w:val="000000"/>
                <w:sz w:val="22"/>
                <w:szCs w:val="22"/>
                <w:lang w:val="en-US"/>
              </w:rPr>
            </w:pPr>
            <w:r w:rsidRPr="00214121">
              <w:rPr>
                <w:rFonts w:ascii="Arial" w:hAnsi="Arial"/>
                <w:color w:val="000000"/>
                <w:sz w:val="22"/>
                <w:szCs w:val="22"/>
                <w:lang w:val="en-US"/>
              </w:rPr>
              <w:t>Note</w:t>
            </w:r>
          </w:p>
        </w:tc>
        <w:tc>
          <w:tcPr>
            <w:tcW w:w="714" w:type="pct"/>
            <w:shd w:val="clear" w:color="auto" w:fill="auto"/>
            <w:noWrap/>
            <w:vAlign w:val="bottom"/>
            <w:hideMark/>
          </w:tcPr>
          <w:p w14:paraId="1C8209A0"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Dr</w:t>
            </w:r>
          </w:p>
        </w:tc>
        <w:tc>
          <w:tcPr>
            <w:tcW w:w="714" w:type="pct"/>
            <w:shd w:val="clear" w:color="auto" w:fill="auto"/>
            <w:noWrap/>
            <w:vAlign w:val="bottom"/>
            <w:hideMark/>
          </w:tcPr>
          <w:p w14:paraId="43B800C3"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Cr</w:t>
            </w:r>
          </w:p>
        </w:tc>
      </w:tr>
      <w:tr w:rsidR="007A52A3" w:rsidRPr="00800520" w14:paraId="1A5F2FBA" w14:textId="77777777" w:rsidTr="00214121">
        <w:trPr>
          <w:trHeight w:val="300"/>
        </w:trPr>
        <w:tc>
          <w:tcPr>
            <w:tcW w:w="714" w:type="pct"/>
            <w:shd w:val="clear" w:color="auto" w:fill="auto"/>
            <w:noWrap/>
            <w:vAlign w:val="bottom"/>
            <w:hideMark/>
          </w:tcPr>
          <w:p w14:paraId="3C3FE720" w14:textId="77777777" w:rsidR="007A52A3" w:rsidRPr="00214121" w:rsidRDefault="007A52A3" w:rsidP="00214121">
            <w:pPr>
              <w:jc w:val="right"/>
              <w:rPr>
                <w:rFonts w:ascii="Arial" w:hAnsi="Arial"/>
                <w:color w:val="000000"/>
                <w:sz w:val="22"/>
                <w:szCs w:val="22"/>
                <w:lang w:val="en-US"/>
              </w:rPr>
            </w:pPr>
          </w:p>
        </w:tc>
        <w:tc>
          <w:tcPr>
            <w:tcW w:w="714" w:type="pct"/>
            <w:shd w:val="clear" w:color="auto" w:fill="auto"/>
            <w:noWrap/>
            <w:vAlign w:val="bottom"/>
            <w:hideMark/>
          </w:tcPr>
          <w:p w14:paraId="7A927EED" w14:textId="77777777" w:rsidR="007A52A3" w:rsidRPr="00214121" w:rsidRDefault="007A52A3" w:rsidP="00214121">
            <w:pPr>
              <w:rPr>
                <w:rFonts w:ascii="Arial" w:hAnsi="Arial"/>
                <w:sz w:val="22"/>
                <w:szCs w:val="22"/>
                <w:lang w:val="en-US"/>
              </w:rPr>
            </w:pPr>
          </w:p>
        </w:tc>
        <w:tc>
          <w:tcPr>
            <w:tcW w:w="714" w:type="pct"/>
            <w:shd w:val="clear" w:color="auto" w:fill="auto"/>
            <w:noWrap/>
            <w:vAlign w:val="bottom"/>
            <w:hideMark/>
          </w:tcPr>
          <w:p w14:paraId="611C552A" w14:textId="77777777" w:rsidR="007A52A3" w:rsidRPr="00214121" w:rsidRDefault="007A52A3" w:rsidP="00214121">
            <w:pPr>
              <w:rPr>
                <w:rFonts w:ascii="Arial" w:hAnsi="Arial"/>
                <w:sz w:val="22"/>
                <w:szCs w:val="22"/>
                <w:lang w:val="en-US"/>
              </w:rPr>
            </w:pPr>
          </w:p>
        </w:tc>
        <w:tc>
          <w:tcPr>
            <w:tcW w:w="714" w:type="pct"/>
            <w:shd w:val="clear" w:color="auto" w:fill="auto"/>
            <w:noWrap/>
            <w:vAlign w:val="bottom"/>
            <w:hideMark/>
          </w:tcPr>
          <w:p w14:paraId="16FC0AE5" w14:textId="77777777" w:rsidR="007A52A3" w:rsidRPr="00214121" w:rsidRDefault="007A52A3" w:rsidP="00214121">
            <w:pPr>
              <w:rPr>
                <w:rFonts w:ascii="Arial" w:hAnsi="Arial"/>
                <w:sz w:val="22"/>
                <w:szCs w:val="22"/>
                <w:lang w:val="en-US"/>
              </w:rPr>
            </w:pPr>
          </w:p>
        </w:tc>
        <w:tc>
          <w:tcPr>
            <w:tcW w:w="714" w:type="pct"/>
            <w:shd w:val="clear" w:color="auto" w:fill="auto"/>
            <w:noWrap/>
            <w:vAlign w:val="bottom"/>
            <w:hideMark/>
          </w:tcPr>
          <w:p w14:paraId="5E3AB67A" w14:textId="77777777" w:rsidR="007A52A3" w:rsidRPr="00214121" w:rsidRDefault="007A52A3" w:rsidP="00214121">
            <w:pPr>
              <w:rPr>
                <w:rFonts w:ascii="Arial" w:hAnsi="Arial"/>
                <w:sz w:val="22"/>
                <w:szCs w:val="22"/>
                <w:lang w:val="en-US"/>
              </w:rPr>
            </w:pPr>
          </w:p>
        </w:tc>
        <w:tc>
          <w:tcPr>
            <w:tcW w:w="714" w:type="pct"/>
            <w:shd w:val="clear" w:color="auto" w:fill="auto"/>
            <w:noWrap/>
            <w:vAlign w:val="bottom"/>
            <w:hideMark/>
          </w:tcPr>
          <w:p w14:paraId="0D774482" w14:textId="77777777" w:rsidR="007A52A3" w:rsidRPr="00214121" w:rsidRDefault="007A52A3" w:rsidP="00214121">
            <w:pPr>
              <w:jc w:val="right"/>
              <w:rPr>
                <w:rFonts w:ascii="Arial" w:hAnsi="Arial"/>
                <w:sz w:val="22"/>
                <w:szCs w:val="22"/>
                <w:lang w:val="en-US"/>
              </w:rPr>
            </w:pPr>
            <w:r w:rsidRPr="00214121">
              <w:rPr>
                <w:rFonts w:ascii="Arial" w:hAnsi="Arial"/>
                <w:sz w:val="22"/>
                <w:szCs w:val="22"/>
                <w:lang w:val="en-US"/>
              </w:rPr>
              <w:t>£</w:t>
            </w:r>
          </w:p>
        </w:tc>
        <w:tc>
          <w:tcPr>
            <w:tcW w:w="714" w:type="pct"/>
            <w:shd w:val="clear" w:color="auto" w:fill="auto"/>
            <w:noWrap/>
            <w:vAlign w:val="bottom"/>
            <w:hideMark/>
          </w:tcPr>
          <w:p w14:paraId="338BEF11" w14:textId="77777777" w:rsidR="007A52A3" w:rsidRPr="00214121" w:rsidRDefault="007A52A3" w:rsidP="00214121">
            <w:pPr>
              <w:jc w:val="right"/>
              <w:rPr>
                <w:rFonts w:ascii="Arial" w:hAnsi="Arial"/>
                <w:sz w:val="22"/>
                <w:szCs w:val="22"/>
                <w:lang w:val="en-US"/>
              </w:rPr>
            </w:pPr>
            <w:r w:rsidRPr="00214121">
              <w:rPr>
                <w:rFonts w:ascii="Arial" w:hAnsi="Arial"/>
                <w:sz w:val="22"/>
                <w:szCs w:val="22"/>
                <w:lang w:val="en-US"/>
              </w:rPr>
              <w:t>£</w:t>
            </w:r>
          </w:p>
        </w:tc>
      </w:tr>
      <w:tr w:rsidR="007A52A3" w:rsidRPr="00800520" w14:paraId="30C05445" w14:textId="77777777" w:rsidTr="00214121">
        <w:trPr>
          <w:trHeight w:val="300"/>
        </w:trPr>
        <w:tc>
          <w:tcPr>
            <w:tcW w:w="1429" w:type="pct"/>
            <w:gridSpan w:val="2"/>
            <w:shd w:val="clear" w:color="auto" w:fill="auto"/>
            <w:noWrap/>
            <w:vAlign w:val="bottom"/>
            <w:hideMark/>
          </w:tcPr>
          <w:p w14:paraId="50B6B029"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Plant and machinery </w:t>
            </w:r>
          </w:p>
        </w:tc>
        <w:tc>
          <w:tcPr>
            <w:tcW w:w="714" w:type="pct"/>
            <w:shd w:val="clear" w:color="auto" w:fill="auto"/>
            <w:noWrap/>
            <w:vAlign w:val="bottom"/>
            <w:hideMark/>
          </w:tcPr>
          <w:p w14:paraId="0B90FA93" w14:textId="77777777" w:rsidR="007A52A3" w:rsidRPr="00214121" w:rsidRDefault="007A52A3" w:rsidP="00214121">
            <w:pPr>
              <w:rPr>
                <w:rFonts w:ascii="Arial" w:hAnsi="Arial"/>
                <w:color w:val="000000"/>
                <w:sz w:val="22"/>
                <w:szCs w:val="22"/>
                <w:lang w:val="en-US"/>
              </w:rPr>
            </w:pPr>
          </w:p>
        </w:tc>
        <w:tc>
          <w:tcPr>
            <w:tcW w:w="714" w:type="pct"/>
            <w:shd w:val="clear" w:color="auto" w:fill="auto"/>
            <w:noWrap/>
            <w:vAlign w:val="bottom"/>
            <w:hideMark/>
          </w:tcPr>
          <w:p w14:paraId="53E99F89" w14:textId="77777777" w:rsidR="007A52A3" w:rsidRPr="00214121" w:rsidRDefault="007A52A3" w:rsidP="00214121">
            <w:pPr>
              <w:rPr>
                <w:rFonts w:ascii="Arial" w:hAnsi="Arial"/>
                <w:sz w:val="22"/>
                <w:szCs w:val="22"/>
                <w:lang w:val="en-US"/>
              </w:rPr>
            </w:pPr>
          </w:p>
        </w:tc>
        <w:tc>
          <w:tcPr>
            <w:tcW w:w="714" w:type="pct"/>
            <w:shd w:val="clear" w:color="auto" w:fill="auto"/>
            <w:noWrap/>
            <w:vAlign w:val="bottom"/>
            <w:hideMark/>
          </w:tcPr>
          <w:p w14:paraId="449A2535" w14:textId="77777777" w:rsidR="007A52A3" w:rsidRPr="00214121" w:rsidRDefault="007A52A3" w:rsidP="00214121">
            <w:pPr>
              <w:rPr>
                <w:rFonts w:ascii="Arial" w:hAnsi="Arial"/>
                <w:sz w:val="22"/>
                <w:szCs w:val="22"/>
                <w:lang w:val="en-US"/>
              </w:rPr>
            </w:pPr>
          </w:p>
        </w:tc>
        <w:tc>
          <w:tcPr>
            <w:tcW w:w="714" w:type="pct"/>
            <w:shd w:val="clear" w:color="auto" w:fill="auto"/>
            <w:noWrap/>
            <w:vAlign w:val="bottom"/>
            <w:hideMark/>
          </w:tcPr>
          <w:p w14:paraId="6892454F"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104,801</w:t>
            </w:r>
          </w:p>
        </w:tc>
        <w:tc>
          <w:tcPr>
            <w:tcW w:w="714" w:type="pct"/>
            <w:shd w:val="clear" w:color="auto" w:fill="auto"/>
            <w:noWrap/>
            <w:vAlign w:val="bottom"/>
            <w:hideMark/>
          </w:tcPr>
          <w:p w14:paraId="4E79C67C" w14:textId="77777777" w:rsidR="007A52A3" w:rsidRPr="00214121" w:rsidRDefault="007A52A3" w:rsidP="00214121">
            <w:pPr>
              <w:jc w:val="right"/>
              <w:rPr>
                <w:rFonts w:ascii="Arial" w:hAnsi="Arial"/>
                <w:color w:val="000000"/>
                <w:sz w:val="22"/>
                <w:szCs w:val="22"/>
                <w:lang w:val="en-US"/>
              </w:rPr>
            </w:pPr>
          </w:p>
        </w:tc>
      </w:tr>
      <w:tr w:rsidR="007A52A3" w:rsidRPr="00800520" w14:paraId="4AD72ADF" w14:textId="77777777" w:rsidTr="00214121">
        <w:trPr>
          <w:trHeight w:val="300"/>
        </w:trPr>
        <w:tc>
          <w:tcPr>
            <w:tcW w:w="1429" w:type="pct"/>
            <w:gridSpan w:val="2"/>
            <w:shd w:val="clear" w:color="auto" w:fill="auto"/>
            <w:noWrap/>
            <w:vAlign w:val="bottom"/>
            <w:hideMark/>
          </w:tcPr>
          <w:p w14:paraId="5D6DB102"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Plant and machinery depreciation </w:t>
            </w:r>
          </w:p>
        </w:tc>
        <w:tc>
          <w:tcPr>
            <w:tcW w:w="714" w:type="pct"/>
            <w:shd w:val="clear" w:color="auto" w:fill="auto"/>
            <w:noWrap/>
            <w:vAlign w:val="bottom"/>
            <w:hideMark/>
          </w:tcPr>
          <w:p w14:paraId="542C80AD" w14:textId="77777777" w:rsidR="007A52A3" w:rsidRPr="00214121" w:rsidRDefault="007A52A3" w:rsidP="00214121">
            <w:pPr>
              <w:rPr>
                <w:rFonts w:ascii="Arial" w:hAnsi="Arial"/>
                <w:color w:val="000000"/>
                <w:sz w:val="22"/>
                <w:szCs w:val="22"/>
                <w:lang w:val="en-US"/>
              </w:rPr>
            </w:pPr>
          </w:p>
        </w:tc>
        <w:tc>
          <w:tcPr>
            <w:tcW w:w="714" w:type="pct"/>
            <w:shd w:val="clear" w:color="auto" w:fill="auto"/>
            <w:noWrap/>
            <w:vAlign w:val="bottom"/>
            <w:hideMark/>
          </w:tcPr>
          <w:p w14:paraId="4A515CB7" w14:textId="77777777" w:rsidR="007A52A3" w:rsidRPr="00214121" w:rsidRDefault="007A52A3" w:rsidP="00214121">
            <w:pPr>
              <w:rPr>
                <w:rFonts w:ascii="Arial" w:hAnsi="Arial"/>
                <w:sz w:val="22"/>
                <w:szCs w:val="22"/>
                <w:lang w:val="en-US"/>
              </w:rPr>
            </w:pPr>
          </w:p>
        </w:tc>
        <w:tc>
          <w:tcPr>
            <w:tcW w:w="714" w:type="pct"/>
            <w:shd w:val="clear" w:color="auto" w:fill="auto"/>
            <w:noWrap/>
            <w:vAlign w:val="bottom"/>
            <w:hideMark/>
          </w:tcPr>
          <w:p w14:paraId="2E5EB997" w14:textId="77777777" w:rsidR="007A52A3" w:rsidRPr="00214121" w:rsidRDefault="007A52A3" w:rsidP="00214121">
            <w:pPr>
              <w:rPr>
                <w:rFonts w:ascii="Arial" w:hAnsi="Arial"/>
                <w:sz w:val="22"/>
                <w:szCs w:val="22"/>
                <w:lang w:val="en-US"/>
              </w:rPr>
            </w:pPr>
          </w:p>
        </w:tc>
        <w:tc>
          <w:tcPr>
            <w:tcW w:w="714" w:type="pct"/>
            <w:shd w:val="clear" w:color="auto" w:fill="auto"/>
            <w:noWrap/>
            <w:vAlign w:val="bottom"/>
            <w:hideMark/>
          </w:tcPr>
          <w:p w14:paraId="030298EC" w14:textId="77777777" w:rsidR="007A52A3" w:rsidRPr="00214121" w:rsidRDefault="007A52A3" w:rsidP="00214121">
            <w:pPr>
              <w:jc w:val="center"/>
              <w:rPr>
                <w:rFonts w:ascii="Arial" w:hAnsi="Arial"/>
                <w:sz w:val="22"/>
                <w:szCs w:val="22"/>
                <w:lang w:val="en-US"/>
              </w:rPr>
            </w:pPr>
          </w:p>
        </w:tc>
        <w:tc>
          <w:tcPr>
            <w:tcW w:w="714" w:type="pct"/>
            <w:shd w:val="clear" w:color="auto" w:fill="auto"/>
            <w:noWrap/>
            <w:vAlign w:val="bottom"/>
            <w:hideMark/>
          </w:tcPr>
          <w:p w14:paraId="15B138A7"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34,926</w:t>
            </w:r>
          </w:p>
        </w:tc>
      </w:tr>
      <w:tr w:rsidR="007A52A3" w:rsidRPr="00800520" w14:paraId="3B37E5C8" w14:textId="77777777" w:rsidTr="00214121">
        <w:trPr>
          <w:trHeight w:val="300"/>
        </w:trPr>
        <w:tc>
          <w:tcPr>
            <w:tcW w:w="1429" w:type="pct"/>
            <w:gridSpan w:val="2"/>
            <w:shd w:val="clear" w:color="auto" w:fill="auto"/>
            <w:noWrap/>
            <w:vAlign w:val="bottom"/>
            <w:hideMark/>
          </w:tcPr>
          <w:p w14:paraId="3B949370"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Fixtures and fittings </w:t>
            </w:r>
          </w:p>
        </w:tc>
        <w:tc>
          <w:tcPr>
            <w:tcW w:w="714" w:type="pct"/>
            <w:shd w:val="clear" w:color="auto" w:fill="auto"/>
            <w:noWrap/>
            <w:vAlign w:val="bottom"/>
            <w:hideMark/>
          </w:tcPr>
          <w:p w14:paraId="4DE91524" w14:textId="77777777" w:rsidR="007A52A3" w:rsidRPr="00214121" w:rsidRDefault="007A52A3" w:rsidP="00214121">
            <w:pPr>
              <w:rPr>
                <w:rFonts w:ascii="Arial" w:hAnsi="Arial"/>
                <w:color w:val="000000"/>
                <w:sz w:val="22"/>
                <w:szCs w:val="22"/>
                <w:lang w:val="en-US"/>
              </w:rPr>
            </w:pPr>
          </w:p>
        </w:tc>
        <w:tc>
          <w:tcPr>
            <w:tcW w:w="714" w:type="pct"/>
            <w:shd w:val="clear" w:color="auto" w:fill="auto"/>
            <w:noWrap/>
            <w:vAlign w:val="bottom"/>
            <w:hideMark/>
          </w:tcPr>
          <w:p w14:paraId="01DCDDAC" w14:textId="77777777" w:rsidR="007A52A3" w:rsidRPr="00214121" w:rsidRDefault="007A52A3" w:rsidP="00214121">
            <w:pPr>
              <w:rPr>
                <w:rFonts w:ascii="Arial" w:hAnsi="Arial"/>
                <w:sz w:val="22"/>
                <w:szCs w:val="22"/>
                <w:lang w:val="en-US"/>
              </w:rPr>
            </w:pPr>
          </w:p>
        </w:tc>
        <w:tc>
          <w:tcPr>
            <w:tcW w:w="714" w:type="pct"/>
            <w:shd w:val="clear" w:color="auto" w:fill="auto"/>
            <w:noWrap/>
            <w:vAlign w:val="bottom"/>
            <w:hideMark/>
          </w:tcPr>
          <w:p w14:paraId="1130CFED" w14:textId="77777777" w:rsidR="007A52A3" w:rsidRPr="00214121" w:rsidRDefault="007A52A3" w:rsidP="00214121">
            <w:pPr>
              <w:rPr>
                <w:rFonts w:ascii="Arial" w:hAnsi="Arial"/>
                <w:sz w:val="22"/>
                <w:szCs w:val="22"/>
                <w:lang w:val="en-US"/>
              </w:rPr>
            </w:pPr>
          </w:p>
        </w:tc>
        <w:tc>
          <w:tcPr>
            <w:tcW w:w="714" w:type="pct"/>
            <w:shd w:val="clear" w:color="auto" w:fill="auto"/>
            <w:noWrap/>
            <w:vAlign w:val="bottom"/>
            <w:hideMark/>
          </w:tcPr>
          <w:p w14:paraId="18A572AC"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308,987</w:t>
            </w:r>
          </w:p>
        </w:tc>
        <w:tc>
          <w:tcPr>
            <w:tcW w:w="714" w:type="pct"/>
            <w:shd w:val="clear" w:color="auto" w:fill="auto"/>
            <w:noWrap/>
            <w:vAlign w:val="bottom"/>
            <w:hideMark/>
          </w:tcPr>
          <w:p w14:paraId="1E2CE41D" w14:textId="77777777" w:rsidR="007A52A3" w:rsidRPr="00214121" w:rsidRDefault="007A52A3" w:rsidP="00214121">
            <w:pPr>
              <w:jc w:val="right"/>
              <w:rPr>
                <w:rFonts w:ascii="Arial" w:hAnsi="Arial"/>
                <w:color w:val="000000"/>
                <w:sz w:val="22"/>
                <w:szCs w:val="22"/>
                <w:lang w:val="en-US"/>
              </w:rPr>
            </w:pPr>
          </w:p>
        </w:tc>
      </w:tr>
      <w:tr w:rsidR="007A52A3" w:rsidRPr="00800520" w14:paraId="0729CDF0" w14:textId="77777777" w:rsidTr="00214121">
        <w:trPr>
          <w:trHeight w:val="300"/>
        </w:trPr>
        <w:tc>
          <w:tcPr>
            <w:tcW w:w="1429" w:type="pct"/>
            <w:gridSpan w:val="2"/>
            <w:shd w:val="clear" w:color="auto" w:fill="auto"/>
            <w:noWrap/>
            <w:vAlign w:val="bottom"/>
            <w:hideMark/>
          </w:tcPr>
          <w:p w14:paraId="6A76FACD"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Fixtures and fittings depreciation </w:t>
            </w:r>
          </w:p>
        </w:tc>
        <w:tc>
          <w:tcPr>
            <w:tcW w:w="714" w:type="pct"/>
            <w:shd w:val="clear" w:color="auto" w:fill="auto"/>
            <w:noWrap/>
            <w:vAlign w:val="bottom"/>
            <w:hideMark/>
          </w:tcPr>
          <w:p w14:paraId="71807FCF" w14:textId="77777777" w:rsidR="007A52A3" w:rsidRPr="00214121" w:rsidRDefault="007A52A3" w:rsidP="00214121">
            <w:pPr>
              <w:rPr>
                <w:rFonts w:ascii="Arial" w:hAnsi="Arial"/>
                <w:color w:val="000000"/>
                <w:sz w:val="22"/>
                <w:szCs w:val="22"/>
                <w:lang w:val="en-US"/>
              </w:rPr>
            </w:pPr>
          </w:p>
        </w:tc>
        <w:tc>
          <w:tcPr>
            <w:tcW w:w="714" w:type="pct"/>
            <w:shd w:val="clear" w:color="auto" w:fill="auto"/>
            <w:noWrap/>
            <w:vAlign w:val="bottom"/>
            <w:hideMark/>
          </w:tcPr>
          <w:p w14:paraId="69B41345" w14:textId="77777777" w:rsidR="007A52A3" w:rsidRPr="00214121" w:rsidRDefault="007A52A3" w:rsidP="00214121">
            <w:pPr>
              <w:rPr>
                <w:rFonts w:ascii="Arial" w:hAnsi="Arial"/>
                <w:sz w:val="22"/>
                <w:szCs w:val="22"/>
                <w:lang w:val="en-US"/>
              </w:rPr>
            </w:pPr>
          </w:p>
        </w:tc>
        <w:tc>
          <w:tcPr>
            <w:tcW w:w="714" w:type="pct"/>
            <w:shd w:val="clear" w:color="auto" w:fill="auto"/>
            <w:noWrap/>
            <w:vAlign w:val="bottom"/>
            <w:hideMark/>
          </w:tcPr>
          <w:p w14:paraId="3C542DA3" w14:textId="77777777" w:rsidR="007A52A3" w:rsidRPr="00214121" w:rsidRDefault="007A52A3" w:rsidP="00214121">
            <w:pPr>
              <w:rPr>
                <w:rFonts w:ascii="Arial" w:hAnsi="Arial"/>
                <w:sz w:val="22"/>
                <w:szCs w:val="22"/>
                <w:lang w:val="en-US"/>
              </w:rPr>
            </w:pPr>
          </w:p>
        </w:tc>
        <w:tc>
          <w:tcPr>
            <w:tcW w:w="714" w:type="pct"/>
            <w:shd w:val="clear" w:color="auto" w:fill="auto"/>
            <w:noWrap/>
            <w:vAlign w:val="bottom"/>
            <w:hideMark/>
          </w:tcPr>
          <w:p w14:paraId="04678B74" w14:textId="77777777" w:rsidR="007A52A3" w:rsidRPr="00214121" w:rsidRDefault="007A52A3" w:rsidP="00214121">
            <w:pPr>
              <w:jc w:val="center"/>
              <w:rPr>
                <w:rFonts w:ascii="Arial" w:hAnsi="Arial"/>
                <w:sz w:val="22"/>
                <w:szCs w:val="22"/>
                <w:lang w:val="en-US"/>
              </w:rPr>
            </w:pPr>
          </w:p>
        </w:tc>
        <w:tc>
          <w:tcPr>
            <w:tcW w:w="714" w:type="pct"/>
            <w:shd w:val="clear" w:color="auto" w:fill="auto"/>
            <w:noWrap/>
            <w:vAlign w:val="bottom"/>
            <w:hideMark/>
          </w:tcPr>
          <w:p w14:paraId="135D8E53"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158,604</w:t>
            </w:r>
          </w:p>
        </w:tc>
      </w:tr>
      <w:tr w:rsidR="007A52A3" w:rsidRPr="00800520" w14:paraId="5FBD24C6" w14:textId="77777777" w:rsidTr="00214121">
        <w:trPr>
          <w:trHeight w:val="300"/>
        </w:trPr>
        <w:tc>
          <w:tcPr>
            <w:tcW w:w="1429" w:type="pct"/>
            <w:gridSpan w:val="2"/>
            <w:tcBorders>
              <w:left w:val="nil"/>
              <w:bottom w:val="nil"/>
              <w:right w:val="nil"/>
            </w:tcBorders>
            <w:shd w:val="clear" w:color="auto" w:fill="auto"/>
            <w:noWrap/>
            <w:vAlign w:val="bottom"/>
            <w:hideMark/>
          </w:tcPr>
          <w:p w14:paraId="69CE241C"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Investment property </w:t>
            </w:r>
          </w:p>
        </w:tc>
        <w:tc>
          <w:tcPr>
            <w:tcW w:w="714" w:type="pct"/>
            <w:tcBorders>
              <w:left w:val="nil"/>
              <w:bottom w:val="nil"/>
              <w:right w:val="nil"/>
            </w:tcBorders>
            <w:shd w:val="clear" w:color="auto" w:fill="auto"/>
            <w:noWrap/>
            <w:vAlign w:val="bottom"/>
            <w:hideMark/>
          </w:tcPr>
          <w:p w14:paraId="244C41A8" w14:textId="77777777" w:rsidR="007A52A3" w:rsidRPr="00214121" w:rsidRDefault="007A52A3" w:rsidP="00214121">
            <w:pPr>
              <w:rPr>
                <w:rFonts w:ascii="Arial" w:hAnsi="Arial"/>
                <w:color w:val="000000"/>
                <w:sz w:val="22"/>
                <w:szCs w:val="22"/>
                <w:lang w:val="en-US"/>
              </w:rPr>
            </w:pPr>
          </w:p>
        </w:tc>
        <w:tc>
          <w:tcPr>
            <w:tcW w:w="714" w:type="pct"/>
            <w:tcBorders>
              <w:left w:val="nil"/>
              <w:bottom w:val="nil"/>
              <w:right w:val="nil"/>
            </w:tcBorders>
            <w:shd w:val="clear" w:color="auto" w:fill="auto"/>
            <w:noWrap/>
            <w:vAlign w:val="bottom"/>
            <w:hideMark/>
          </w:tcPr>
          <w:p w14:paraId="1C7F8AB2" w14:textId="77777777" w:rsidR="007A52A3" w:rsidRPr="00214121" w:rsidRDefault="007A52A3" w:rsidP="00214121">
            <w:pPr>
              <w:rPr>
                <w:rFonts w:ascii="Arial" w:hAnsi="Arial"/>
                <w:sz w:val="22"/>
                <w:szCs w:val="22"/>
                <w:lang w:val="en-US"/>
              </w:rPr>
            </w:pPr>
          </w:p>
        </w:tc>
        <w:tc>
          <w:tcPr>
            <w:tcW w:w="714" w:type="pct"/>
            <w:tcBorders>
              <w:left w:val="nil"/>
              <w:bottom w:val="nil"/>
              <w:right w:val="nil"/>
            </w:tcBorders>
            <w:shd w:val="clear" w:color="auto" w:fill="auto"/>
            <w:noWrap/>
            <w:vAlign w:val="bottom"/>
            <w:hideMark/>
          </w:tcPr>
          <w:p w14:paraId="63F89F23" w14:textId="77777777" w:rsidR="007A52A3" w:rsidRPr="00214121" w:rsidRDefault="007A52A3" w:rsidP="00214121">
            <w:pPr>
              <w:jc w:val="center"/>
              <w:rPr>
                <w:rFonts w:ascii="Arial" w:hAnsi="Arial"/>
                <w:color w:val="000000"/>
                <w:sz w:val="22"/>
                <w:szCs w:val="22"/>
                <w:lang w:val="en-US"/>
              </w:rPr>
            </w:pPr>
            <w:r w:rsidRPr="00214121">
              <w:rPr>
                <w:rFonts w:ascii="Arial" w:hAnsi="Arial"/>
                <w:color w:val="000000"/>
                <w:sz w:val="22"/>
                <w:szCs w:val="22"/>
                <w:lang w:val="en-US"/>
              </w:rPr>
              <w:t>1</w:t>
            </w:r>
          </w:p>
        </w:tc>
        <w:tc>
          <w:tcPr>
            <w:tcW w:w="714" w:type="pct"/>
            <w:tcBorders>
              <w:left w:val="nil"/>
              <w:bottom w:val="nil"/>
              <w:right w:val="nil"/>
            </w:tcBorders>
            <w:shd w:val="clear" w:color="auto" w:fill="auto"/>
            <w:noWrap/>
            <w:vAlign w:val="bottom"/>
            <w:hideMark/>
          </w:tcPr>
          <w:p w14:paraId="53FDDEB3" w14:textId="77777777" w:rsidR="007A52A3" w:rsidRPr="00214121" w:rsidRDefault="007A52A3">
            <w:pPr>
              <w:jc w:val="right"/>
              <w:rPr>
                <w:rFonts w:ascii="Arial" w:hAnsi="Arial"/>
                <w:color w:val="000000"/>
                <w:sz w:val="22"/>
                <w:szCs w:val="22"/>
                <w:lang w:val="en-US"/>
              </w:rPr>
            </w:pPr>
            <w:r w:rsidRPr="00214121">
              <w:rPr>
                <w:rFonts w:ascii="Arial" w:hAnsi="Arial"/>
                <w:color w:val="000000"/>
                <w:sz w:val="22"/>
                <w:szCs w:val="22"/>
                <w:lang w:val="en-US"/>
              </w:rPr>
              <w:t>206,650</w:t>
            </w:r>
          </w:p>
        </w:tc>
        <w:tc>
          <w:tcPr>
            <w:tcW w:w="714" w:type="pct"/>
            <w:tcBorders>
              <w:left w:val="nil"/>
              <w:bottom w:val="nil"/>
              <w:right w:val="nil"/>
            </w:tcBorders>
            <w:shd w:val="clear" w:color="auto" w:fill="auto"/>
            <w:noWrap/>
            <w:vAlign w:val="bottom"/>
            <w:hideMark/>
          </w:tcPr>
          <w:p w14:paraId="4D5562D3" w14:textId="77777777" w:rsidR="007A52A3" w:rsidRPr="00214121" w:rsidRDefault="007A52A3" w:rsidP="00214121">
            <w:pPr>
              <w:jc w:val="right"/>
              <w:rPr>
                <w:rFonts w:ascii="Arial" w:hAnsi="Arial"/>
                <w:color w:val="000000"/>
                <w:sz w:val="22"/>
                <w:szCs w:val="22"/>
                <w:lang w:val="en-US"/>
              </w:rPr>
            </w:pPr>
          </w:p>
        </w:tc>
      </w:tr>
      <w:tr w:rsidR="007A52A3" w:rsidRPr="00800520" w14:paraId="62EDD69C" w14:textId="77777777" w:rsidTr="00B9592E">
        <w:trPr>
          <w:trHeight w:val="300"/>
        </w:trPr>
        <w:tc>
          <w:tcPr>
            <w:tcW w:w="714" w:type="pct"/>
            <w:tcBorders>
              <w:top w:val="nil"/>
              <w:left w:val="nil"/>
              <w:bottom w:val="nil"/>
              <w:right w:val="nil"/>
            </w:tcBorders>
            <w:shd w:val="clear" w:color="auto" w:fill="auto"/>
            <w:noWrap/>
            <w:vAlign w:val="bottom"/>
            <w:hideMark/>
          </w:tcPr>
          <w:p w14:paraId="76389DE3"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Stock </w:t>
            </w:r>
          </w:p>
        </w:tc>
        <w:tc>
          <w:tcPr>
            <w:tcW w:w="714" w:type="pct"/>
            <w:tcBorders>
              <w:top w:val="nil"/>
              <w:left w:val="nil"/>
              <w:bottom w:val="nil"/>
              <w:right w:val="nil"/>
            </w:tcBorders>
            <w:shd w:val="clear" w:color="auto" w:fill="auto"/>
            <w:noWrap/>
            <w:vAlign w:val="bottom"/>
            <w:hideMark/>
          </w:tcPr>
          <w:p w14:paraId="750E051F"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35E7799D"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0C313F8D"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585FAA96"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69201654"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11,383</w:t>
            </w:r>
          </w:p>
        </w:tc>
        <w:tc>
          <w:tcPr>
            <w:tcW w:w="714" w:type="pct"/>
            <w:tcBorders>
              <w:top w:val="nil"/>
              <w:left w:val="nil"/>
              <w:bottom w:val="nil"/>
              <w:right w:val="nil"/>
            </w:tcBorders>
            <w:shd w:val="clear" w:color="auto" w:fill="auto"/>
            <w:noWrap/>
            <w:vAlign w:val="bottom"/>
            <w:hideMark/>
          </w:tcPr>
          <w:p w14:paraId="0F058C8E" w14:textId="77777777" w:rsidR="007A52A3" w:rsidRPr="00214121" w:rsidRDefault="007A52A3" w:rsidP="00214121">
            <w:pPr>
              <w:jc w:val="right"/>
              <w:rPr>
                <w:rFonts w:ascii="Arial" w:hAnsi="Arial"/>
                <w:color w:val="000000"/>
                <w:sz w:val="22"/>
                <w:szCs w:val="22"/>
                <w:lang w:val="en-US"/>
              </w:rPr>
            </w:pPr>
          </w:p>
        </w:tc>
      </w:tr>
      <w:tr w:rsidR="007A52A3" w:rsidRPr="00800520" w14:paraId="33E81F22" w14:textId="77777777" w:rsidTr="00B9592E">
        <w:trPr>
          <w:trHeight w:val="300"/>
        </w:trPr>
        <w:tc>
          <w:tcPr>
            <w:tcW w:w="714" w:type="pct"/>
            <w:tcBorders>
              <w:top w:val="nil"/>
              <w:left w:val="nil"/>
              <w:bottom w:val="nil"/>
              <w:right w:val="nil"/>
            </w:tcBorders>
            <w:shd w:val="clear" w:color="auto" w:fill="auto"/>
            <w:noWrap/>
            <w:vAlign w:val="bottom"/>
            <w:hideMark/>
          </w:tcPr>
          <w:p w14:paraId="594F1342"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Trade debtors </w:t>
            </w:r>
          </w:p>
        </w:tc>
        <w:tc>
          <w:tcPr>
            <w:tcW w:w="714" w:type="pct"/>
            <w:tcBorders>
              <w:top w:val="nil"/>
              <w:left w:val="nil"/>
              <w:bottom w:val="nil"/>
              <w:right w:val="nil"/>
            </w:tcBorders>
            <w:shd w:val="clear" w:color="auto" w:fill="auto"/>
            <w:noWrap/>
            <w:vAlign w:val="bottom"/>
            <w:hideMark/>
          </w:tcPr>
          <w:p w14:paraId="49A2BD18"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033D0DB3"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5843468C"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27F63D62"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2C9D9EE3"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650,114</w:t>
            </w:r>
          </w:p>
        </w:tc>
        <w:tc>
          <w:tcPr>
            <w:tcW w:w="714" w:type="pct"/>
            <w:tcBorders>
              <w:top w:val="nil"/>
              <w:left w:val="nil"/>
              <w:bottom w:val="nil"/>
              <w:right w:val="nil"/>
            </w:tcBorders>
            <w:shd w:val="clear" w:color="auto" w:fill="auto"/>
            <w:noWrap/>
            <w:vAlign w:val="bottom"/>
            <w:hideMark/>
          </w:tcPr>
          <w:p w14:paraId="35E52C7A" w14:textId="77777777" w:rsidR="007A52A3" w:rsidRPr="00214121" w:rsidRDefault="007A52A3" w:rsidP="00214121">
            <w:pPr>
              <w:jc w:val="right"/>
              <w:rPr>
                <w:rFonts w:ascii="Arial" w:hAnsi="Arial"/>
                <w:color w:val="000000"/>
                <w:sz w:val="22"/>
                <w:szCs w:val="22"/>
                <w:lang w:val="en-US"/>
              </w:rPr>
            </w:pPr>
          </w:p>
        </w:tc>
      </w:tr>
      <w:tr w:rsidR="007A52A3" w:rsidRPr="00800520" w14:paraId="1B83EF4A" w14:textId="77777777" w:rsidTr="00B9592E">
        <w:trPr>
          <w:trHeight w:val="300"/>
        </w:trPr>
        <w:tc>
          <w:tcPr>
            <w:tcW w:w="714" w:type="pct"/>
            <w:tcBorders>
              <w:top w:val="nil"/>
              <w:left w:val="nil"/>
              <w:bottom w:val="nil"/>
              <w:right w:val="nil"/>
            </w:tcBorders>
            <w:shd w:val="clear" w:color="auto" w:fill="auto"/>
            <w:noWrap/>
            <w:vAlign w:val="bottom"/>
            <w:hideMark/>
          </w:tcPr>
          <w:p w14:paraId="6AFF3AE2"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Prepayments </w:t>
            </w:r>
          </w:p>
        </w:tc>
        <w:tc>
          <w:tcPr>
            <w:tcW w:w="714" w:type="pct"/>
            <w:tcBorders>
              <w:top w:val="nil"/>
              <w:left w:val="nil"/>
              <w:bottom w:val="nil"/>
              <w:right w:val="nil"/>
            </w:tcBorders>
            <w:shd w:val="clear" w:color="auto" w:fill="auto"/>
            <w:noWrap/>
            <w:vAlign w:val="bottom"/>
            <w:hideMark/>
          </w:tcPr>
          <w:p w14:paraId="5C82E0A4"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23F0ED30"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6CC81CB5"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54023687"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3F2ACBC"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15,649</w:t>
            </w:r>
          </w:p>
        </w:tc>
        <w:tc>
          <w:tcPr>
            <w:tcW w:w="714" w:type="pct"/>
            <w:tcBorders>
              <w:top w:val="nil"/>
              <w:left w:val="nil"/>
              <w:bottom w:val="nil"/>
              <w:right w:val="nil"/>
            </w:tcBorders>
            <w:shd w:val="clear" w:color="auto" w:fill="auto"/>
            <w:noWrap/>
            <w:vAlign w:val="bottom"/>
            <w:hideMark/>
          </w:tcPr>
          <w:p w14:paraId="3FD9A461" w14:textId="77777777" w:rsidR="007A52A3" w:rsidRPr="00214121" w:rsidRDefault="007A52A3" w:rsidP="00214121">
            <w:pPr>
              <w:jc w:val="right"/>
              <w:rPr>
                <w:rFonts w:ascii="Arial" w:hAnsi="Arial"/>
                <w:color w:val="000000"/>
                <w:sz w:val="22"/>
                <w:szCs w:val="22"/>
                <w:lang w:val="en-US"/>
              </w:rPr>
            </w:pPr>
          </w:p>
        </w:tc>
      </w:tr>
      <w:tr w:rsidR="007A52A3" w:rsidRPr="00800520" w14:paraId="616C5922" w14:textId="77777777" w:rsidTr="00B9592E">
        <w:trPr>
          <w:trHeight w:val="300"/>
        </w:trPr>
        <w:tc>
          <w:tcPr>
            <w:tcW w:w="2143" w:type="pct"/>
            <w:gridSpan w:val="3"/>
            <w:tcBorders>
              <w:top w:val="nil"/>
              <w:left w:val="nil"/>
              <w:bottom w:val="nil"/>
              <w:right w:val="nil"/>
            </w:tcBorders>
            <w:shd w:val="clear" w:color="auto" w:fill="auto"/>
            <w:noWrap/>
            <w:vAlign w:val="bottom"/>
            <w:hideMark/>
          </w:tcPr>
          <w:p w14:paraId="2F7F9964"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Interest-free loan to subsidiary company </w:t>
            </w:r>
          </w:p>
        </w:tc>
        <w:tc>
          <w:tcPr>
            <w:tcW w:w="714" w:type="pct"/>
            <w:tcBorders>
              <w:top w:val="nil"/>
              <w:left w:val="nil"/>
              <w:bottom w:val="nil"/>
              <w:right w:val="nil"/>
            </w:tcBorders>
            <w:shd w:val="clear" w:color="auto" w:fill="auto"/>
            <w:noWrap/>
            <w:vAlign w:val="bottom"/>
            <w:hideMark/>
          </w:tcPr>
          <w:p w14:paraId="4D2C4AF3"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374419E7" w14:textId="77777777" w:rsidR="007A52A3" w:rsidRPr="00214121" w:rsidRDefault="007A52A3" w:rsidP="00214121">
            <w:pPr>
              <w:jc w:val="center"/>
              <w:rPr>
                <w:rFonts w:ascii="Arial" w:hAnsi="Arial"/>
                <w:color w:val="000000"/>
                <w:sz w:val="22"/>
                <w:szCs w:val="22"/>
                <w:lang w:val="en-US"/>
              </w:rPr>
            </w:pPr>
            <w:r w:rsidRPr="00214121">
              <w:rPr>
                <w:rFonts w:ascii="Arial" w:hAnsi="Arial"/>
                <w:color w:val="000000"/>
                <w:sz w:val="22"/>
                <w:szCs w:val="22"/>
                <w:lang w:val="en-US"/>
              </w:rPr>
              <w:t>2</w:t>
            </w:r>
          </w:p>
        </w:tc>
        <w:tc>
          <w:tcPr>
            <w:tcW w:w="714" w:type="pct"/>
            <w:tcBorders>
              <w:top w:val="nil"/>
              <w:left w:val="nil"/>
              <w:bottom w:val="nil"/>
              <w:right w:val="nil"/>
            </w:tcBorders>
            <w:shd w:val="clear" w:color="auto" w:fill="auto"/>
            <w:noWrap/>
            <w:vAlign w:val="bottom"/>
            <w:hideMark/>
          </w:tcPr>
          <w:p w14:paraId="4AA293A6" w14:textId="77777777" w:rsidR="007A52A3" w:rsidRPr="00214121" w:rsidRDefault="007A52A3">
            <w:pPr>
              <w:jc w:val="right"/>
              <w:rPr>
                <w:rFonts w:ascii="Arial" w:hAnsi="Arial"/>
                <w:color w:val="000000"/>
                <w:sz w:val="22"/>
                <w:szCs w:val="22"/>
                <w:lang w:val="en-US"/>
              </w:rPr>
            </w:pPr>
            <w:r w:rsidRPr="00214121">
              <w:rPr>
                <w:rFonts w:ascii="Arial" w:hAnsi="Arial"/>
                <w:color w:val="000000"/>
                <w:sz w:val="22"/>
                <w:szCs w:val="22"/>
                <w:lang w:val="en-US"/>
              </w:rPr>
              <w:t>15,000</w:t>
            </w:r>
          </w:p>
        </w:tc>
        <w:tc>
          <w:tcPr>
            <w:tcW w:w="714" w:type="pct"/>
            <w:tcBorders>
              <w:top w:val="nil"/>
              <w:left w:val="nil"/>
              <w:bottom w:val="nil"/>
              <w:right w:val="nil"/>
            </w:tcBorders>
            <w:shd w:val="clear" w:color="auto" w:fill="auto"/>
            <w:noWrap/>
            <w:vAlign w:val="bottom"/>
            <w:hideMark/>
          </w:tcPr>
          <w:p w14:paraId="5A073440" w14:textId="77777777" w:rsidR="007A52A3" w:rsidRPr="00214121" w:rsidRDefault="007A52A3" w:rsidP="00214121">
            <w:pPr>
              <w:jc w:val="right"/>
              <w:rPr>
                <w:rFonts w:ascii="Arial" w:hAnsi="Arial"/>
                <w:color w:val="000000"/>
                <w:sz w:val="22"/>
                <w:szCs w:val="22"/>
                <w:lang w:val="en-US"/>
              </w:rPr>
            </w:pPr>
          </w:p>
        </w:tc>
      </w:tr>
      <w:tr w:rsidR="007A52A3" w:rsidRPr="00800520" w14:paraId="3DFBE448" w14:textId="77777777" w:rsidTr="00B9592E">
        <w:trPr>
          <w:trHeight w:val="300"/>
        </w:trPr>
        <w:tc>
          <w:tcPr>
            <w:tcW w:w="1429" w:type="pct"/>
            <w:gridSpan w:val="2"/>
            <w:tcBorders>
              <w:top w:val="nil"/>
              <w:left w:val="nil"/>
              <w:bottom w:val="nil"/>
              <w:right w:val="nil"/>
            </w:tcBorders>
            <w:shd w:val="clear" w:color="auto" w:fill="auto"/>
            <w:noWrap/>
            <w:vAlign w:val="bottom"/>
            <w:hideMark/>
          </w:tcPr>
          <w:p w14:paraId="14A45E0C"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Cash at bank and in hand </w:t>
            </w:r>
          </w:p>
        </w:tc>
        <w:tc>
          <w:tcPr>
            <w:tcW w:w="714" w:type="pct"/>
            <w:tcBorders>
              <w:top w:val="nil"/>
              <w:left w:val="nil"/>
              <w:bottom w:val="nil"/>
              <w:right w:val="nil"/>
            </w:tcBorders>
            <w:shd w:val="clear" w:color="auto" w:fill="auto"/>
            <w:noWrap/>
            <w:vAlign w:val="bottom"/>
            <w:hideMark/>
          </w:tcPr>
          <w:p w14:paraId="00B8AD08"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47D2C800"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C4F7566"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0F57C7B6"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850,669</w:t>
            </w:r>
          </w:p>
        </w:tc>
        <w:tc>
          <w:tcPr>
            <w:tcW w:w="714" w:type="pct"/>
            <w:tcBorders>
              <w:top w:val="nil"/>
              <w:left w:val="nil"/>
              <w:bottom w:val="nil"/>
              <w:right w:val="nil"/>
            </w:tcBorders>
            <w:shd w:val="clear" w:color="auto" w:fill="auto"/>
            <w:noWrap/>
            <w:vAlign w:val="bottom"/>
            <w:hideMark/>
          </w:tcPr>
          <w:p w14:paraId="35955C1F" w14:textId="77777777" w:rsidR="007A52A3" w:rsidRPr="00214121" w:rsidRDefault="007A52A3" w:rsidP="00214121">
            <w:pPr>
              <w:jc w:val="right"/>
              <w:rPr>
                <w:rFonts w:ascii="Arial" w:hAnsi="Arial"/>
                <w:color w:val="000000"/>
                <w:sz w:val="22"/>
                <w:szCs w:val="22"/>
                <w:lang w:val="en-US"/>
              </w:rPr>
            </w:pPr>
          </w:p>
        </w:tc>
      </w:tr>
      <w:tr w:rsidR="007A52A3" w:rsidRPr="00800520" w14:paraId="30DBE02D" w14:textId="77777777" w:rsidTr="00B9592E">
        <w:trPr>
          <w:trHeight w:val="300"/>
        </w:trPr>
        <w:tc>
          <w:tcPr>
            <w:tcW w:w="714" w:type="pct"/>
            <w:tcBorders>
              <w:top w:val="nil"/>
              <w:left w:val="nil"/>
              <w:bottom w:val="nil"/>
              <w:right w:val="nil"/>
            </w:tcBorders>
            <w:shd w:val="clear" w:color="auto" w:fill="auto"/>
            <w:noWrap/>
            <w:vAlign w:val="bottom"/>
            <w:hideMark/>
          </w:tcPr>
          <w:p w14:paraId="037181E4"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Trade creditors </w:t>
            </w:r>
          </w:p>
        </w:tc>
        <w:tc>
          <w:tcPr>
            <w:tcW w:w="714" w:type="pct"/>
            <w:tcBorders>
              <w:top w:val="nil"/>
              <w:left w:val="nil"/>
              <w:bottom w:val="nil"/>
              <w:right w:val="nil"/>
            </w:tcBorders>
            <w:shd w:val="clear" w:color="auto" w:fill="auto"/>
            <w:noWrap/>
            <w:vAlign w:val="bottom"/>
            <w:hideMark/>
          </w:tcPr>
          <w:p w14:paraId="3490B23D"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2E12A0A8"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1BAA2659"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698DEB96"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0493CFBC"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3595048A"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75,864</w:t>
            </w:r>
          </w:p>
        </w:tc>
      </w:tr>
      <w:tr w:rsidR="007A52A3" w:rsidRPr="00800520" w14:paraId="47BAD2D7" w14:textId="77777777" w:rsidTr="00B9592E">
        <w:trPr>
          <w:trHeight w:val="300"/>
        </w:trPr>
        <w:tc>
          <w:tcPr>
            <w:tcW w:w="714" w:type="pct"/>
            <w:tcBorders>
              <w:top w:val="nil"/>
              <w:left w:val="nil"/>
              <w:bottom w:val="nil"/>
              <w:right w:val="nil"/>
            </w:tcBorders>
            <w:shd w:val="clear" w:color="auto" w:fill="auto"/>
            <w:noWrap/>
            <w:vAlign w:val="bottom"/>
            <w:hideMark/>
          </w:tcPr>
          <w:p w14:paraId="7E33E11B"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Corporation tax </w:t>
            </w:r>
          </w:p>
        </w:tc>
        <w:tc>
          <w:tcPr>
            <w:tcW w:w="714" w:type="pct"/>
            <w:tcBorders>
              <w:top w:val="nil"/>
              <w:left w:val="nil"/>
              <w:bottom w:val="nil"/>
              <w:right w:val="nil"/>
            </w:tcBorders>
            <w:shd w:val="clear" w:color="auto" w:fill="auto"/>
            <w:noWrap/>
            <w:vAlign w:val="bottom"/>
            <w:hideMark/>
          </w:tcPr>
          <w:p w14:paraId="274FC2F2"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39F67463"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3EDBD5D4"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12A6F405"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29EC1AAA"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61C7C419"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16,300</w:t>
            </w:r>
          </w:p>
        </w:tc>
      </w:tr>
      <w:tr w:rsidR="007A52A3" w:rsidRPr="00800520" w14:paraId="7E23AEF2" w14:textId="77777777" w:rsidTr="00B9592E">
        <w:trPr>
          <w:trHeight w:val="300"/>
        </w:trPr>
        <w:tc>
          <w:tcPr>
            <w:tcW w:w="714" w:type="pct"/>
            <w:tcBorders>
              <w:top w:val="nil"/>
              <w:left w:val="nil"/>
              <w:bottom w:val="nil"/>
              <w:right w:val="nil"/>
            </w:tcBorders>
            <w:shd w:val="clear" w:color="auto" w:fill="auto"/>
            <w:noWrap/>
            <w:vAlign w:val="bottom"/>
            <w:hideMark/>
          </w:tcPr>
          <w:p w14:paraId="65376130"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Sundry creditors </w:t>
            </w:r>
          </w:p>
        </w:tc>
        <w:tc>
          <w:tcPr>
            <w:tcW w:w="714" w:type="pct"/>
            <w:tcBorders>
              <w:top w:val="nil"/>
              <w:left w:val="nil"/>
              <w:bottom w:val="nil"/>
              <w:right w:val="nil"/>
            </w:tcBorders>
            <w:shd w:val="clear" w:color="auto" w:fill="auto"/>
            <w:noWrap/>
            <w:vAlign w:val="bottom"/>
            <w:hideMark/>
          </w:tcPr>
          <w:p w14:paraId="18985B89"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27FC5C3B"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176B0586"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FBFA118"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594177E"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4D562DB1"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8,546</w:t>
            </w:r>
          </w:p>
        </w:tc>
      </w:tr>
      <w:tr w:rsidR="007A52A3" w:rsidRPr="00800520" w14:paraId="705BA766" w14:textId="77777777" w:rsidTr="00B9592E">
        <w:trPr>
          <w:trHeight w:val="300"/>
        </w:trPr>
        <w:tc>
          <w:tcPr>
            <w:tcW w:w="1429" w:type="pct"/>
            <w:gridSpan w:val="2"/>
            <w:tcBorders>
              <w:top w:val="nil"/>
              <w:left w:val="nil"/>
              <w:bottom w:val="nil"/>
              <w:right w:val="nil"/>
            </w:tcBorders>
            <w:shd w:val="clear" w:color="auto" w:fill="auto"/>
            <w:noWrap/>
            <w:vAlign w:val="bottom"/>
            <w:hideMark/>
          </w:tcPr>
          <w:p w14:paraId="39FB7D57"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Accrued expenses </w:t>
            </w:r>
          </w:p>
        </w:tc>
        <w:tc>
          <w:tcPr>
            <w:tcW w:w="714" w:type="pct"/>
            <w:tcBorders>
              <w:top w:val="nil"/>
              <w:left w:val="nil"/>
              <w:bottom w:val="nil"/>
              <w:right w:val="nil"/>
            </w:tcBorders>
            <w:shd w:val="clear" w:color="auto" w:fill="auto"/>
            <w:noWrap/>
            <w:vAlign w:val="bottom"/>
            <w:hideMark/>
          </w:tcPr>
          <w:p w14:paraId="00043D2A"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3DAB1D78"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68965AB0" w14:textId="77777777" w:rsidR="007A52A3" w:rsidRPr="00214121" w:rsidRDefault="007A52A3" w:rsidP="00214121">
            <w:pPr>
              <w:jc w:val="center"/>
              <w:rPr>
                <w:rFonts w:ascii="Arial" w:hAnsi="Arial"/>
                <w:color w:val="000000"/>
                <w:sz w:val="22"/>
                <w:szCs w:val="22"/>
                <w:lang w:val="en-US"/>
              </w:rPr>
            </w:pPr>
            <w:r w:rsidRPr="00214121">
              <w:rPr>
                <w:rFonts w:ascii="Arial" w:hAnsi="Arial"/>
                <w:color w:val="000000"/>
                <w:sz w:val="22"/>
                <w:szCs w:val="22"/>
                <w:lang w:val="en-US"/>
              </w:rPr>
              <w:t>3</w:t>
            </w:r>
          </w:p>
        </w:tc>
        <w:tc>
          <w:tcPr>
            <w:tcW w:w="714" w:type="pct"/>
            <w:tcBorders>
              <w:top w:val="nil"/>
              <w:left w:val="nil"/>
              <w:bottom w:val="nil"/>
              <w:right w:val="nil"/>
            </w:tcBorders>
            <w:shd w:val="clear" w:color="auto" w:fill="auto"/>
            <w:noWrap/>
            <w:vAlign w:val="bottom"/>
            <w:hideMark/>
          </w:tcPr>
          <w:p w14:paraId="6B21EE52" w14:textId="77777777" w:rsidR="007A52A3" w:rsidRPr="00214121" w:rsidRDefault="007A52A3" w:rsidP="00214121">
            <w:pPr>
              <w:jc w:val="cente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0FC0BE92"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16,200</w:t>
            </w:r>
          </w:p>
        </w:tc>
      </w:tr>
      <w:tr w:rsidR="007A52A3" w:rsidRPr="00800520" w14:paraId="5CA88585" w14:textId="77777777" w:rsidTr="00B9592E">
        <w:trPr>
          <w:trHeight w:val="300"/>
        </w:trPr>
        <w:tc>
          <w:tcPr>
            <w:tcW w:w="2857" w:type="pct"/>
            <w:gridSpan w:val="4"/>
            <w:tcBorders>
              <w:top w:val="nil"/>
              <w:left w:val="nil"/>
              <w:bottom w:val="nil"/>
              <w:right w:val="nil"/>
            </w:tcBorders>
            <w:shd w:val="clear" w:color="auto" w:fill="auto"/>
            <w:noWrap/>
            <w:vAlign w:val="bottom"/>
            <w:hideMark/>
          </w:tcPr>
          <w:p w14:paraId="0731F562"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Director's current account due after more than one year </w:t>
            </w:r>
          </w:p>
        </w:tc>
        <w:tc>
          <w:tcPr>
            <w:tcW w:w="714" w:type="pct"/>
            <w:tcBorders>
              <w:top w:val="nil"/>
              <w:left w:val="nil"/>
              <w:bottom w:val="nil"/>
              <w:right w:val="nil"/>
            </w:tcBorders>
            <w:shd w:val="clear" w:color="auto" w:fill="auto"/>
            <w:noWrap/>
            <w:vAlign w:val="bottom"/>
            <w:hideMark/>
          </w:tcPr>
          <w:p w14:paraId="229F77DC" w14:textId="77777777" w:rsidR="007A52A3" w:rsidRPr="00214121" w:rsidRDefault="007A52A3" w:rsidP="00214121">
            <w:pPr>
              <w:jc w:val="center"/>
              <w:rPr>
                <w:rFonts w:ascii="Arial" w:hAnsi="Arial"/>
                <w:color w:val="000000"/>
                <w:sz w:val="22"/>
                <w:szCs w:val="22"/>
                <w:lang w:val="en-US"/>
              </w:rPr>
            </w:pPr>
            <w:r w:rsidRPr="00214121">
              <w:rPr>
                <w:rFonts w:ascii="Arial" w:hAnsi="Arial"/>
                <w:color w:val="000000"/>
                <w:sz w:val="22"/>
                <w:szCs w:val="22"/>
                <w:lang w:val="en-US"/>
              </w:rPr>
              <w:t>4</w:t>
            </w:r>
          </w:p>
        </w:tc>
        <w:tc>
          <w:tcPr>
            <w:tcW w:w="714" w:type="pct"/>
            <w:tcBorders>
              <w:top w:val="nil"/>
              <w:left w:val="nil"/>
              <w:bottom w:val="nil"/>
              <w:right w:val="nil"/>
            </w:tcBorders>
            <w:shd w:val="clear" w:color="auto" w:fill="auto"/>
            <w:noWrap/>
            <w:vAlign w:val="bottom"/>
            <w:hideMark/>
          </w:tcPr>
          <w:p w14:paraId="5AC602CB" w14:textId="77777777" w:rsidR="007A52A3" w:rsidRPr="00214121" w:rsidRDefault="007A52A3" w:rsidP="00214121">
            <w:pPr>
              <w:jc w:val="cente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796617B5"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65,000</w:t>
            </w:r>
          </w:p>
        </w:tc>
      </w:tr>
      <w:tr w:rsidR="007A52A3" w:rsidRPr="00800520" w14:paraId="31166200" w14:textId="77777777" w:rsidTr="00B9592E">
        <w:trPr>
          <w:trHeight w:val="300"/>
        </w:trPr>
        <w:tc>
          <w:tcPr>
            <w:tcW w:w="714" w:type="pct"/>
            <w:tcBorders>
              <w:top w:val="nil"/>
              <w:left w:val="nil"/>
              <w:bottom w:val="nil"/>
              <w:right w:val="nil"/>
            </w:tcBorders>
            <w:shd w:val="clear" w:color="auto" w:fill="auto"/>
            <w:noWrap/>
            <w:vAlign w:val="bottom"/>
            <w:hideMark/>
          </w:tcPr>
          <w:p w14:paraId="48172871"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Deferred tax </w:t>
            </w:r>
          </w:p>
        </w:tc>
        <w:tc>
          <w:tcPr>
            <w:tcW w:w="714" w:type="pct"/>
            <w:tcBorders>
              <w:top w:val="nil"/>
              <w:left w:val="nil"/>
              <w:bottom w:val="nil"/>
              <w:right w:val="nil"/>
            </w:tcBorders>
            <w:shd w:val="clear" w:color="auto" w:fill="auto"/>
            <w:noWrap/>
            <w:vAlign w:val="bottom"/>
            <w:hideMark/>
          </w:tcPr>
          <w:p w14:paraId="3B774AD2"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6A7E36F9"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070FE2C0"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077A8FA2"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03E4EFF4"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00D61CAA"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9,164</w:t>
            </w:r>
          </w:p>
        </w:tc>
      </w:tr>
      <w:tr w:rsidR="007A52A3" w:rsidRPr="00800520" w14:paraId="3D729FC3" w14:textId="77777777" w:rsidTr="00B9592E">
        <w:trPr>
          <w:trHeight w:val="300"/>
        </w:trPr>
        <w:tc>
          <w:tcPr>
            <w:tcW w:w="714" w:type="pct"/>
            <w:tcBorders>
              <w:top w:val="nil"/>
              <w:left w:val="nil"/>
              <w:bottom w:val="nil"/>
              <w:right w:val="nil"/>
            </w:tcBorders>
            <w:shd w:val="clear" w:color="auto" w:fill="auto"/>
            <w:noWrap/>
            <w:vAlign w:val="bottom"/>
            <w:hideMark/>
          </w:tcPr>
          <w:p w14:paraId="42BA7557"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Share capital </w:t>
            </w:r>
          </w:p>
        </w:tc>
        <w:tc>
          <w:tcPr>
            <w:tcW w:w="714" w:type="pct"/>
            <w:tcBorders>
              <w:top w:val="nil"/>
              <w:left w:val="nil"/>
              <w:bottom w:val="nil"/>
              <w:right w:val="nil"/>
            </w:tcBorders>
            <w:shd w:val="clear" w:color="auto" w:fill="auto"/>
            <w:noWrap/>
            <w:vAlign w:val="bottom"/>
            <w:hideMark/>
          </w:tcPr>
          <w:p w14:paraId="063459B2"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2161BD9C"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3DB3C923"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353817C9"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43F54C37"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3479BDC9"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100</w:t>
            </w:r>
          </w:p>
        </w:tc>
      </w:tr>
      <w:tr w:rsidR="007A52A3" w:rsidRPr="00800520" w14:paraId="3F3725D9" w14:textId="77777777" w:rsidTr="00B9592E">
        <w:trPr>
          <w:trHeight w:val="300"/>
        </w:trPr>
        <w:tc>
          <w:tcPr>
            <w:tcW w:w="1429" w:type="pct"/>
            <w:gridSpan w:val="2"/>
            <w:tcBorders>
              <w:top w:val="nil"/>
              <w:left w:val="nil"/>
              <w:bottom w:val="nil"/>
              <w:right w:val="nil"/>
            </w:tcBorders>
            <w:shd w:val="clear" w:color="auto" w:fill="auto"/>
            <w:noWrap/>
            <w:vAlign w:val="bottom"/>
            <w:hideMark/>
          </w:tcPr>
          <w:p w14:paraId="7167CA36"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Revaluation reserve </w:t>
            </w:r>
          </w:p>
        </w:tc>
        <w:tc>
          <w:tcPr>
            <w:tcW w:w="714" w:type="pct"/>
            <w:tcBorders>
              <w:top w:val="nil"/>
              <w:left w:val="nil"/>
              <w:bottom w:val="nil"/>
              <w:right w:val="nil"/>
            </w:tcBorders>
            <w:shd w:val="clear" w:color="auto" w:fill="auto"/>
            <w:noWrap/>
            <w:vAlign w:val="bottom"/>
            <w:hideMark/>
          </w:tcPr>
          <w:p w14:paraId="35C579AC"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73D97F4B"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9F548D8"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51F87630"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43DAE2AF"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85,200</w:t>
            </w:r>
          </w:p>
        </w:tc>
      </w:tr>
      <w:tr w:rsidR="007A52A3" w:rsidRPr="00800520" w14:paraId="224B63DF" w14:textId="77777777" w:rsidTr="00B9592E">
        <w:trPr>
          <w:trHeight w:val="300"/>
        </w:trPr>
        <w:tc>
          <w:tcPr>
            <w:tcW w:w="1429" w:type="pct"/>
            <w:gridSpan w:val="2"/>
            <w:tcBorders>
              <w:top w:val="nil"/>
              <w:left w:val="nil"/>
              <w:bottom w:val="nil"/>
              <w:right w:val="nil"/>
            </w:tcBorders>
            <w:shd w:val="clear" w:color="auto" w:fill="auto"/>
            <w:noWrap/>
            <w:vAlign w:val="bottom"/>
            <w:hideMark/>
          </w:tcPr>
          <w:p w14:paraId="41B3BA3E"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Profit and loss account reserves </w:t>
            </w:r>
          </w:p>
        </w:tc>
        <w:tc>
          <w:tcPr>
            <w:tcW w:w="714" w:type="pct"/>
            <w:tcBorders>
              <w:top w:val="nil"/>
              <w:left w:val="nil"/>
              <w:bottom w:val="nil"/>
              <w:right w:val="nil"/>
            </w:tcBorders>
            <w:shd w:val="clear" w:color="auto" w:fill="auto"/>
            <w:noWrap/>
            <w:vAlign w:val="bottom"/>
            <w:hideMark/>
          </w:tcPr>
          <w:p w14:paraId="26FCB025"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46FE4A31"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24710FF8"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207E7297"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2DFEC800"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1,693,349</w:t>
            </w:r>
          </w:p>
        </w:tc>
      </w:tr>
      <w:tr w:rsidR="007A52A3" w:rsidRPr="00800520" w14:paraId="423F7F9A" w14:textId="77777777" w:rsidTr="00B9592E">
        <w:trPr>
          <w:trHeight w:val="320"/>
        </w:trPr>
        <w:tc>
          <w:tcPr>
            <w:tcW w:w="714" w:type="pct"/>
            <w:tcBorders>
              <w:top w:val="nil"/>
              <w:left w:val="nil"/>
              <w:bottom w:val="nil"/>
              <w:right w:val="nil"/>
            </w:tcBorders>
            <w:shd w:val="clear" w:color="auto" w:fill="auto"/>
            <w:noWrap/>
            <w:vAlign w:val="bottom"/>
            <w:hideMark/>
          </w:tcPr>
          <w:p w14:paraId="41431A82" w14:textId="77777777" w:rsidR="007A52A3" w:rsidRPr="00214121" w:rsidRDefault="007A52A3" w:rsidP="00214121">
            <w:pPr>
              <w:jc w:val="right"/>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465CC56B"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00E6BB1"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4464CA0"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47F6828C" w14:textId="77777777" w:rsidR="007A52A3" w:rsidRPr="00214121" w:rsidRDefault="007A52A3" w:rsidP="00214121">
            <w:pPr>
              <w:rPr>
                <w:rFonts w:ascii="Arial" w:hAnsi="Arial"/>
                <w:sz w:val="22"/>
                <w:szCs w:val="22"/>
                <w:lang w:val="en-US"/>
              </w:rPr>
            </w:pPr>
          </w:p>
        </w:tc>
        <w:tc>
          <w:tcPr>
            <w:tcW w:w="714" w:type="pct"/>
            <w:tcBorders>
              <w:top w:val="single" w:sz="4" w:space="0" w:color="auto"/>
              <w:left w:val="nil"/>
              <w:bottom w:val="double" w:sz="6" w:space="0" w:color="auto"/>
              <w:right w:val="nil"/>
            </w:tcBorders>
            <w:shd w:val="clear" w:color="auto" w:fill="auto"/>
            <w:noWrap/>
            <w:vAlign w:val="bottom"/>
            <w:hideMark/>
          </w:tcPr>
          <w:p w14:paraId="56FB0867"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2,163,253</w:t>
            </w:r>
          </w:p>
        </w:tc>
        <w:tc>
          <w:tcPr>
            <w:tcW w:w="714" w:type="pct"/>
            <w:tcBorders>
              <w:top w:val="single" w:sz="4" w:space="0" w:color="auto"/>
              <w:left w:val="nil"/>
              <w:bottom w:val="double" w:sz="6" w:space="0" w:color="auto"/>
              <w:right w:val="nil"/>
            </w:tcBorders>
            <w:shd w:val="clear" w:color="auto" w:fill="auto"/>
            <w:noWrap/>
            <w:vAlign w:val="bottom"/>
            <w:hideMark/>
          </w:tcPr>
          <w:p w14:paraId="777E458F"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2,163,253</w:t>
            </w:r>
          </w:p>
        </w:tc>
      </w:tr>
    </w:tbl>
    <w:p w14:paraId="6F18933E" w14:textId="77777777" w:rsidR="0028156D" w:rsidRDefault="0028156D" w:rsidP="00214121">
      <w:pPr>
        <w:spacing w:line="360" w:lineRule="auto"/>
        <w:rPr>
          <w:rFonts w:ascii="Arial" w:hAnsi="Arial"/>
          <w:b/>
          <w:i/>
        </w:rPr>
      </w:pPr>
    </w:p>
    <w:p w14:paraId="715188B5" w14:textId="7FEE2BF0" w:rsidR="007A52A3" w:rsidRPr="00214121" w:rsidRDefault="007A52A3" w:rsidP="00214121">
      <w:pPr>
        <w:spacing w:line="360" w:lineRule="auto"/>
        <w:rPr>
          <w:rFonts w:ascii="Arial" w:hAnsi="Arial"/>
          <w:b/>
          <w:i/>
        </w:rPr>
      </w:pPr>
      <w:r w:rsidRPr="00214121">
        <w:rPr>
          <w:rFonts w:ascii="Arial" w:hAnsi="Arial"/>
          <w:b/>
          <w:i/>
        </w:rPr>
        <w:t>Notes</w:t>
      </w:r>
    </w:p>
    <w:p w14:paraId="5FF67A78" w14:textId="008DFB47" w:rsidR="007A52A3" w:rsidRPr="00214121" w:rsidRDefault="007A52A3" w:rsidP="00214121">
      <w:pPr>
        <w:spacing w:line="360" w:lineRule="auto"/>
        <w:ind w:left="720" w:hanging="720"/>
        <w:rPr>
          <w:rFonts w:ascii="Arial" w:hAnsi="Arial"/>
        </w:rPr>
      </w:pPr>
      <w:r w:rsidRPr="00214121">
        <w:rPr>
          <w:rFonts w:ascii="Arial" w:hAnsi="Arial"/>
        </w:rPr>
        <w:t>1.</w:t>
      </w:r>
      <w:r w:rsidRPr="00214121">
        <w:rPr>
          <w:rFonts w:ascii="Arial" w:hAnsi="Arial"/>
        </w:rPr>
        <w:tab/>
        <w:t xml:space="preserve">The investment property was accounted for under the </w:t>
      </w:r>
      <w:r w:rsidRPr="00214121">
        <w:rPr>
          <w:rFonts w:ascii="Arial" w:hAnsi="Arial"/>
          <w:i/>
        </w:rPr>
        <w:t>FRSSE</w:t>
      </w:r>
      <w:r w:rsidRPr="00214121">
        <w:rPr>
          <w:rFonts w:ascii="Arial" w:hAnsi="Arial"/>
        </w:rPr>
        <w:t xml:space="preserve"> (effective January 2015) and a valuation was obtained from an independent firm of </w:t>
      </w:r>
      <w:r w:rsidR="00B838DA">
        <w:rPr>
          <w:rFonts w:ascii="Arial" w:hAnsi="Arial"/>
        </w:rPr>
        <w:t>c</w:t>
      </w:r>
      <w:r w:rsidRPr="00214121">
        <w:rPr>
          <w:rFonts w:ascii="Arial" w:hAnsi="Arial"/>
        </w:rPr>
        <w:t xml:space="preserve">hartered </w:t>
      </w:r>
      <w:r w:rsidR="00B838DA">
        <w:rPr>
          <w:rFonts w:ascii="Arial" w:hAnsi="Arial"/>
        </w:rPr>
        <w:t>s</w:t>
      </w:r>
      <w:r w:rsidRPr="00214121">
        <w:rPr>
          <w:rFonts w:ascii="Arial" w:hAnsi="Arial"/>
        </w:rPr>
        <w:t>urveyors on 30 April 2015, which was included in the above trial balance.</w:t>
      </w:r>
      <w:r>
        <w:rPr>
          <w:rFonts w:ascii="Arial" w:hAnsi="Arial"/>
        </w:rPr>
        <w:t xml:space="preserve"> </w:t>
      </w:r>
      <w:r w:rsidRPr="00214121">
        <w:rPr>
          <w:rFonts w:ascii="Arial" w:hAnsi="Arial"/>
        </w:rPr>
        <w:t xml:space="preserve">The </w:t>
      </w:r>
      <w:r w:rsidRPr="00214121">
        <w:rPr>
          <w:rFonts w:ascii="Arial" w:hAnsi="Arial"/>
        </w:rPr>
        <w:lastRenderedPageBreak/>
        <w:t xml:space="preserve">investment property is to be accounted for at fair value under </w:t>
      </w:r>
      <w:r w:rsidR="00E42195">
        <w:rPr>
          <w:rFonts w:ascii="Arial" w:hAnsi="Arial"/>
        </w:rPr>
        <w:t>s</w:t>
      </w:r>
      <w:r w:rsidRPr="00214121">
        <w:rPr>
          <w:rFonts w:ascii="Arial" w:hAnsi="Arial"/>
        </w:rPr>
        <w:t>ection 16</w:t>
      </w:r>
      <w:r w:rsidR="00E42195">
        <w:rPr>
          <w:rFonts w:ascii="Arial" w:hAnsi="Arial"/>
        </w:rPr>
        <w:t>,</w:t>
      </w:r>
      <w:r w:rsidRPr="00214121">
        <w:rPr>
          <w:rFonts w:ascii="Arial" w:hAnsi="Arial"/>
        </w:rPr>
        <w:t xml:space="preserve"> </w:t>
      </w:r>
      <w:r w:rsidR="00E42195" w:rsidRPr="00E42195">
        <w:rPr>
          <w:rFonts w:ascii="Arial" w:hAnsi="Arial"/>
        </w:rPr>
        <w:t>‘</w:t>
      </w:r>
      <w:r w:rsidRPr="00214121">
        <w:rPr>
          <w:rFonts w:ascii="Arial" w:hAnsi="Arial"/>
        </w:rPr>
        <w:t>Investment Property</w:t>
      </w:r>
      <w:r w:rsidR="00E42195" w:rsidRPr="00214121">
        <w:rPr>
          <w:rFonts w:ascii="Arial" w:hAnsi="Arial"/>
        </w:rPr>
        <w:t>’</w:t>
      </w:r>
      <w:r w:rsidRPr="00214121">
        <w:rPr>
          <w:rFonts w:ascii="Arial" w:hAnsi="Arial"/>
        </w:rPr>
        <w:t>.</w:t>
      </w:r>
      <w:r w:rsidRPr="00E42195">
        <w:rPr>
          <w:rFonts w:ascii="Arial" w:hAnsi="Arial"/>
        </w:rPr>
        <w:t xml:space="preserve"> </w:t>
      </w:r>
      <w:r w:rsidRPr="00214121">
        <w:rPr>
          <w:rFonts w:ascii="Arial" w:hAnsi="Arial"/>
        </w:rPr>
        <w:t xml:space="preserve">The directors do not want to recognise a separate reserve in respect of any reserves that are not distributable and the directors do not anticipate selling the investment in the foreseeable future. </w:t>
      </w:r>
    </w:p>
    <w:p w14:paraId="0DC52B08" w14:textId="77777777" w:rsidR="007A52A3" w:rsidRPr="00214121" w:rsidRDefault="007A52A3" w:rsidP="00214121">
      <w:pPr>
        <w:spacing w:line="360" w:lineRule="auto"/>
        <w:rPr>
          <w:rFonts w:ascii="Arial" w:hAnsi="Arial"/>
        </w:rPr>
      </w:pPr>
    </w:p>
    <w:p w14:paraId="601098C9" w14:textId="77777777" w:rsidR="007A52A3" w:rsidRPr="00214121" w:rsidRDefault="007A52A3" w:rsidP="00214121">
      <w:pPr>
        <w:spacing w:line="360" w:lineRule="auto"/>
        <w:rPr>
          <w:rFonts w:ascii="Arial" w:hAnsi="Arial"/>
        </w:rPr>
      </w:pPr>
      <w:r w:rsidRPr="00214121">
        <w:rPr>
          <w:rFonts w:ascii="Arial" w:hAnsi="Arial"/>
        </w:rPr>
        <w:t>2.</w:t>
      </w:r>
      <w:r w:rsidRPr="00214121">
        <w:rPr>
          <w:rFonts w:ascii="Arial" w:hAnsi="Arial"/>
        </w:rPr>
        <w:tab/>
        <w:t>There are no formal loan terms attached to the loan to the subsidiary company.</w:t>
      </w:r>
    </w:p>
    <w:p w14:paraId="77C250C6" w14:textId="77777777" w:rsidR="007A52A3" w:rsidRPr="00214121" w:rsidRDefault="007A52A3" w:rsidP="00214121">
      <w:pPr>
        <w:spacing w:line="360" w:lineRule="auto"/>
        <w:rPr>
          <w:rFonts w:ascii="Arial" w:hAnsi="Arial"/>
        </w:rPr>
      </w:pPr>
    </w:p>
    <w:p w14:paraId="74A1C27F" w14:textId="3775EC9B" w:rsidR="007A52A3" w:rsidRPr="00214121" w:rsidRDefault="007A52A3" w:rsidP="00214121">
      <w:pPr>
        <w:spacing w:line="360" w:lineRule="auto"/>
        <w:ind w:left="720" w:hanging="720"/>
        <w:rPr>
          <w:rFonts w:ascii="Arial" w:hAnsi="Arial"/>
        </w:rPr>
      </w:pPr>
      <w:r w:rsidRPr="00214121">
        <w:rPr>
          <w:rFonts w:ascii="Arial" w:hAnsi="Arial"/>
        </w:rPr>
        <w:t>3.</w:t>
      </w:r>
      <w:r w:rsidRPr="00214121">
        <w:rPr>
          <w:rFonts w:ascii="Arial" w:hAnsi="Arial"/>
        </w:rPr>
        <w:tab/>
        <w:t>Smallco’s holiday year is not coterminous with its year</w:t>
      </w:r>
      <w:r w:rsidR="004A323F">
        <w:rPr>
          <w:rFonts w:ascii="Arial" w:hAnsi="Arial"/>
        </w:rPr>
        <w:t xml:space="preserve"> </w:t>
      </w:r>
      <w:r w:rsidRPr="00214121">
        <w:rPr>
          <w:rFonts w:ascii="Arial" w:hAnsi="Arial"/>
        </w:rPr>
        <w:t>end.</w:t>
      </w:r>
      <w:r>
        <w:rPr>
          <w:rFonts w:ascii="Arial" w:hAnsi="Arial"/>
        </w:rPr>
        <w:t xml:space="preserve"> </w:t>
      </w:r>
      <w:r w:rsidRPr="00214121">
        <w:rPr>
          <w:rFonts w:ascii="Arial" w:hAnsi="Arial"/>
        </w:rPr>
        <w:t>The payroll clerk has calculated that an amount of £7,200 was due to employees at the year</w:t>
      </w:r>
      <w:r w:rsidR="004A323F">
        <w:rPr>
          <w:rFonts w:ascii="Arial" w:hAnsi="Arial"/>
        </w:rPr>
        <w:t xml:space="preserve"> </w:t>
      </w:r>
      <w:r w:rsidRPr="00214121">
        <w:rPr>
          <w:rFonts w:ascii="Arial" w:hAnsi="Arial"/>
        </w:rPr>
        <w:t>end in respect of accrued holiday pay.</w:t>
      </w:r>
      <w:r>
        <w:rPr>
          <w:rFonts w:ascii="Arial" w:hAnsi="Arial"/>
        </w:rPr>
        <w:t xml:space="preserve"> </w:t>
      </w:r>
      <w:r w:rsidRPr="00214121">
        <w:rPr>
          <w:rFonts w:ascii="Arial" w:hAnsi="Arial"/>
        </w:rPr>
        <w:t>The company has previously not accounted for unpaid holiday entitlement accrued at the year</w:t>
      </w:r>
      <w:r w:rsidR="00321403">
        <w:rPr>
          <w:rFonts w:ascii="Arial" w:hAnsi="Arial"/>
        </w:rPr>
        <w:t xml:space="preserve"> </w:t>
      </w:r>
      <w:r w:rsidRPr="00214121">
        <w:rPr>
          <w:rFonts w:ascii="Arial" w:hAnsi="Arial"/>
        </w:rPr>
        <w:t>end.</w:t>
      </w:r>
    </w:p>
    <w:p w14:paraId="7CAF8B07" w14:textId="77777777" w:rsidR="007A52A3" w:rsidRPr="00214121" w:rsidRDefault="007A52A3" w:rsidP="00214121">
      <w:pPr>
        <w:spacing w:line="360" w:lineRule="auto"/>
        <w:ind w:left="720" w:hanging="720"/>
        <w:rPr>
          <w:rFonts w:ascii="Arial" w:hAnsi="Arial"/>
        </w:rPr>
      </w:pPr>
    </w:p>
    <w:p w14:paraId="75758659" w14:textId="390A29EE" w:rsidR="007A52A3" w:rsidRPr="00214121" w:rsidRDefault="007A52A3" w:rsidP="00214121">
      <w:pPr>
        <w:spacing w:line="360" w:lineRule="auto"/>
        <w:ind w:left="720" w:hanging="720"/>
        <w:rPr>
          <w:rFonts w:ascii="Arial" w:hAnsi="Arial"/>
        </w:rPr>
      </w:pPr>
      <w:r w:rsidRPr="00214121">
        <w:rPr>
          <w:rFonts w:ascii="Arial" w:hAnsi="Arial"/>
        </w:rPr>
        <w:t>4.</w:t>
      </w:r>
      <w:r w:rsidRPr="00214121">
        <w:rPr>
          <w:rFonts w:ascii="Arial" w:hAnsi="Arial"/>
        </w:rPr>
        <w:tab/>
        <w:t>The director’s loan account represents funds introduced by the director who is also the majority shareholder of the business.</w:t>
      </w:r>
      <w:r>
        <w:rPr>
          <w:rFonts w:ascii="Arial" w:hAnsi="Arial"/>
        </w:rPr>
        <w:t xml:space="preserve"> </w:t>
      </w:r>
      <w:r w:rsidRPr="00214121">
        <w:rPr>
          <w:rFonts w:ascii="Arial" w:hAnsi="Arial"/>
        </w:rPr>
        <w:t>The director does not consider the loan to be repayable in the foreseeable future and the loan has been classed as long-term under previous UK GAAP.</w:t>
      </w:r>
      <w:r>
        <w:rPr>
          <w:rFonts w:ascii="Arial" w:hAnsi="Arial"/>
        </w:rPr>
        <w:t xml:space="preserve"> </w:t>
      </w:r>
      <w:r w:rsidRPr="00214121">
        <w:rPr>
          <w:rFonts w:ascii="Arial" w:hAnsi="Arial"/>
        </w:rPr>
        <w:t>There are no formal terms attached to the loan and no interest payments are made to the director.</w:t>
      </w:r>
    </w:p>
    <w:p w14:paraId="38AFF972" w14:textId="77777777" w:rsidR="007A52A3" w:rsidRPr="00214121" w:rsidRDefault="007A52A3" w:rsidP="00214121">
      <w:pPr>
        <w:spacing w:line="360" w:lineRule="auto"/>
        <w:rPr>
          <w:rFonts w:ascii="Arial" w:hAnsi="Arial"/>
        </w:rPr>
      </w:pPr>
    </w:p>
    <w:p w14:paraId="520160A8" w14:textId="77777777" w:rsidR="007A52A3" w:rsidRPr="00214121" w:rsidRDefault="007A52A3" w:rsidP="00214121">
      <w:pPr>
        <w:spacing w:line="360" w:lineRule="auto"/>
        <w:rPr>
          <w:rFonts w:ascii="Arial" w:hAnsi="Arial"/>
        </w:rPr>
      </w:pPr>
      <w:r w:rsidRPr="00214121">
        <w:rPr>
          <w:rFonts w:ascii="Arial" w:hAnsi="Arial"/>
        </w:rPr>
        <w:t>Paragraph 35.7 says that an entity shall, in its opening statement of financial position (balance sheet) as at the date of transition:</w:t>
      </w:r>
    </w:p>
    <w:p w14:paraId="19E5E97F" w14:textId="77777777" w:rsidR="007A52A3" w:rsidRPr="00214121" w:rsidRDefault="007A52A3" w:rsidP="00214121">
      <w:pPr>
        <w:spacing w:line="360" w:lineRule="auto"/>
        <w:rPr>
          <w:rFonts w:ascii="Arial" w:hAnsi="Arial"/>
        </w:rPr>
      </w:pPr>
    </w:p>
    <w:p w14:paraId="243B6629" w14:textId="5718A336" w:rsidR="007A52A3" w:rsidRPr="00214121" w:rsidRDefault="002A4321" w:rsidP="00214121">
      <w:pPr>
        <w:spacing w:line="360" w:lineRule="auto"/>
        <w:ind w:left="567" w:hanging="567"/>
        <w:rPr>
          <w:rFonts w:ascii="Arial" w:hAnsi="Arial"/>
        </w:rPr>
      </w:pPr>
      <w:r>
        <w:rPr>
          <w:rFonts w:ascii="Arial" w:hAnsi="Arial"/>
        </w:rPr>
        <w:t>a.</w:t>
      </w:r>
      <w:r w:rsidR="007A52A3" w:rsidRPr="00214121">
        <w:rPr>
          <w:rFonts w:ascii="Arial" w:hAnsi="Arial"/>
        </w:rPr>
        <w:tab/>
        <w:t>recognise all assets and liabilities whose reco</w:t>
      </w:r>
      <w:r w:rsidR="007D67F1">
        <w:rPr>
          <w:rFonts w:ascii="Arial" w:hAnsi="Arial"/>
        </w:rPr>
        <w:t>gnition is required by this FRS</w:t>
      </w:r>
    </w:p>
    <w:p w14:paraId="15CAEF24" w14:textId="77777777" w:rsidR="007A52A3" w:rsidRPr="00214121" w:rsidRDefault="007A52A3" w:rsidP="00214121">
      <w:pPr>
        <w:spacing w:line="360" w:lineRule="auto"/>
        <w:ind w:left="567" w:hanging="567"/>
        <w:rPr>
          <w:rFonts w:ascii="Arial" w:hAnsi="Arial"/>
        </w:rPr>
      </w:pPr>
    </w:p>
    <w:p w14:paraId="2544ED0E" w14:textId="40DAD7E3" w:rsidR="007A52A3" w:rsidRPr="00214121" w:rsidRDefault="002A4321" w:rsidP="00214121">
      <w:pPr>
        <w:spacing w:line="360" w:lineRule="auto"/>
        <w:ind w:left="567" w:hanging="567"/>
        <w:rPr>
          <w:rFonts w:ascii="Arial" w:hAnsi="Arial"/>
        </w:rPr>
      </w:pPr>
      <w:r>
        <w:rPr>
          <w:rFonts w:ascii="Arial" w:hAnsi="Arial"/>
        </w:rPr>
        <w:t>b.</w:t>
      </w:r>
      <w:r w:rsidR="007A52A3" w:rsidRPr="00214121">
        <w:rPr>
          <w:rFonts w:ascii="Arial" w:hAnsi="Arial"/>
        </w:rPr>
        <w:tab/>
        <w:t>not recognise items as assets or liabilities if this FRS d</w:t>
      </w:r>
      <w:r w:rsidR="007D67F1">
        <w:rPr>
          <w:rFonts w:ascii="Arial" w:hAnsi="Arial"/>
        </w:rPr>
        <w:t>oes not permit such recognition</w:t>
      </w:r>
    </w:p>
    <w:p w14:paraId="6046F5AB" w14:textId="77777777" w:rsidR="007A52A3" w:rsidRPr="00214121" w:rsidRDefault="007A52A3" w:rsidP="00214121">
      <w:pPr>
        <w:spacing w:line="360" w:lineRule="auto"/>
        <w:ind w:left="567" w:hanging="567"/>
        <w:rPr>
          <w:rFonts w:ascii="Arial" w:hAnsi="Arial"/>
        </w:rPr>
      </w:pPr>
    </w:p>
    <w:p w14:paraId="1D4B9B2F" w14:textId="79AA7E2D" w:rsidR="007A52A3" w:rsidRPr="00214121" w:rsidRDefault="002A4321" w:rsidP="00214121">
      <w:pPr>
        <w:spacing w:line="360" w:lineRule="auto"/>
        <w:ind w:left="567" w:hanging="567"/>
        <w:rPr>
          <w:rFonts w:ascii="Arial" w:hAnsi="Arial"/>
        </w:rPr>
      </w:pPr>
      <w:r>
        <w:rPr>
          <w:rFonts w:ascii="Arial" w:hAnsi="Arial"/>
        </w:rPr>
        <w:t>c.</w:t>
      </w:r>
      <w:r w:rsidR="007A52A3" w:rsidRPr="00214121">
        <w:rPr>
          <w:rFonts w:ascii="Arial" w:hAnsi="Arial"/>
        </w:rPr>
        <w:tab/>
        <w:t>reclassify items that it recognised under its previous financial reporting framework as one type of asset, liability or component of equity, but are a different type of asset, liability or component of equity under this FRS</w:t>
      </w:r>
    </w:p>
    <w:p w14:paraId="788D096D" w14:textId="77777777" w:rsidR="007A52A3" w:rsidRPr="00214121" w:rsidRDefault="007A52A3" w:rsidP="00214121">
      <w:pPr>
        <w:spacing w:line="360" w:lineRule="auto"/>
        <w:ind w:left="567" w:hanging="567"/>
        <w:rPr>
          <w:rFonts w:ascii="Arial" w:hAnsi="Arial"/>
        </w:rPr>
      </w:pPr>
      <w:r w:rsidRPr="00214121">
        <w:rPr>
          <w:rFonts w:ascii="Arial" w:hAnsi="Arial"/>
        </w:rPr>
        <w:t xml:space="preserve"> </w:t>
      </w:r>
    </w:p>
    <w:p w14:paraId="55AF9302" w14:textId="6FDE1D93" w:rsidR="007A52A3" w:rsidRPr="00214121" w:rsidRDefault="002A4321" w:rsidP="00214121">
      <w:pPr>
        <w:spacing w:line="360" w:lineRule="auto"/>
        <w:ind w:left="567" w:hanging="567"/>
        <w:rPr>
          <w:rFonts w:ascii="Arial" w:hAnsi="Arial"/>
        </w:rPr>
      </w:pPr>
      <w:r>
        <w:rPr>
          <w:rFonts w:ascii="Arial" w:hAnsi="Arial"/>
        </w:rPr>
        <w:t>d.</w:t>
      </w:r>
      <w:r w:rsidR="007A52A3" w:rsidRPr="00214121">
        <w:rPr>
          <w:rFonts w:ascii="Arial" w:hAnsi="Arial"/>
        </w:rPr>
        <w:tab/>
        <w:t>apply this FRS in measuring all recognised assets and liabilities.</w:t>
      </w:r>
    </w:p>
    <w:p w14:paraId="4BA789AB" w14:textId="77777777" w:rsidR="007A52A3" w:rsidRPr="00214121" w:rsidRDefault="007A52A3" w:rsidP="00214121">
      <w:pPr>
        <w:spacing w:line="360" w:lineRule="auto"/>
        <w:rPr>
          <w:rFonts w:ascii="Arial" w:hAnsi="Arial"/>
        </w:rPr>
      </w:pPr>
    </w:p>
    <w:p w14:paraId="75594C12" w14:textId="35B41B57" w:rsidR="007A52A3" w:rsidRPr="00214121" w:rsidRDefault="007A52A3" w:rsidP="00214121">
      <w:pPr>
        <w:spacing w:line="360" w:lineRule="auto"/>
        <w:rPr>
          <w:rFonts w:ascii="Arial" w:hAnsi="Arial"/>
        </w:rPr>
      </w:pPr>
      <w:r w:rsidRPr="00214121">
        <w:rPr>
          <w:rFonts w:ascii="Arial" w:hAnsi="Arial"/>
        </w:rPr>
        <w:t>The entity is required to consider its accounting policies and determine whether they are compliant with the requirements of FRS 102.</w:t>
      </w:r>
      <w:r>
        <w:rPr>
          <w:rFonts w:ascii="Arial" w:hAnsi="Arial"/>
        </w:rPr>
        <w:t xml:space="preserve"> </w:t>
      </w:r>
      <w:r w:rsidRPr="00214121">
        <w:rPr>
          <w:rFonts w:ascii="Arial" w:hAnsi="Arial"/>
        </w:rPr>
        <w:t xml:space="preserve">Where such policies may have been permissible under previous UK GAAP, but are not permissible under FRS 102, they must </w:t>
      </w:r>
      <w:r w:rsidRPr="00214121">
        <w:rPr>
          <w:rFonts w:ascii="Arial" w:hAnsi="Arial"/>
        </w:rPr>
        <w:lastRenderedPageBreak/>
        <w:t>be changed retrospectively to the date of transition as well as in the comparative financial statements.</w:t>
      </w:r>
      <w:r>
        <w:rPr>
          <w:rFonts w:ascii="Arial" w:hAnsi="Arial"/>
        </w:rPr>
        <w:t xml:space="preserve"> </w:t>
      </w:r>
    </w:p>
    <w:p w14:paraId="7DC83E67" w14:textId="77777777" w:rsidR="007A52A3" w:rsidRPr="00214121" w:rsidRDefault="007A52A3" w:rsidP="00214121">
      <w:pPr>
        <w:spacing w:line="360" w:lineRule="auto"/>
        <w:rPr>
          <w:rFonts w:ascii="Arial" w:hAnsi="Arial"/>
        </w:rPr>
      </w:pPr>
    </w:p>
    <w:p w14:paraId="060EFCF8" w14:textId="10A9C6F2" w:rsidR="007A52A3" w:rsidRPr="00214121" w:rsidRDefault="007A52A3" w:rsidP="00214121">
      <w:pPr>
        <w:spacing w:line="360" w:lineRule="auto"/>
        <w:rPr>
          <w:rFonts w:ascii="Arial" w:hAnsi="Arial"/>
        </w:rPr>
      </w:pPr>
      <w:r w:rsidRPr="00214121">
        <w:rPr>
          <w:rFonts w:ascii="Arial" w:hAnsi="Arial"/>
        </w:rPr>
        <w:t>In Smallco’s case, there are four matters which must be dealt with at the date of transition in order that the opening balance sheet position at the date of transition is compliant with FRS 102.</w:t>
      </w:r>
      <w:r>
        <w:rPr>
          <w:rFonts w:ascii="Arial" w:hAnsi="Arial"/>
        </w:rPr>
        <w:t xml:space="preserve"> </w:t>
      </w:r>
      <w:r w:rsidRPr="00214121">
        <w:rPr>
          <w:rFonts w:ascii="Arial" w:hAnsi="Arial"/>
        </w:rPr>
        <w:t>These are dealt with as follows:</w:t>
      </w:r>
    </w:p>
    <w:p w14:paraId="080B59D7" w14:textId="77777777" w:rsidR="007A52A3" w:rsidRPr="00214121" w:rsidRDefault="007A52A3" w:rsidP="00214121">
      <w:pPr>
        <w:spacing w:line="360" w:lineRule="auto"/>
        <w:rPr>
          <w:rFonts w:ascii="Arial" w:hAnsi="Arial"/>
        </w:rPr>
      </w:pPr>
    </w:p>
    <w:p w14:paraId="368232DF" w14:textId="42F1DD5F" w:rsidR="007A52A3" w:rsidRPr="00214121" w:rsidRDefault="008E074D" w:rsidP="00214121">
      <w:pPr>
        <w:spacing w:line="360" w:lineRule="auto"/>
        <w:rPr>
          <w:rFonts w:ascii="Arial" w:hAnsi="Arial"/>
          <w:b/>
        </w:rPr>
      </w:pPr>
      <w:r>
        <w:rPr>
          <w:rFonts w:ascii="Arial" w:hAnsi="Arial"/>
          <w:b/>
        </w:rPr>
        <w:t xml:space="preserve">1. </w:t>
      </w:r>
      <w:r w:rsidR="007A52A3" w:rsidRPr="00214121">
        <w:rPr>
          <w:rFonts w:ascii="Arial" w:hAnsi="Arial"/>
          <w:b/>
        </w:rPr>
        <w:t>Investment property</w:t>
      </w:r>
    </w:p>
    <w:p w14:paraId="3BE65D78" w14:textId="14B58A7E" w:rsidR="007A52A3" w:rsidRPr="00214121" w:rsidRDefault="007A52A3" w:rsidP="00214121">
      <w:pPr>
        <w:spacing w:line="360" w:lineRule="auto"/>
        <w:rPr>
          <w:rFonts w:ascii="Arial" w:hAnsi="Arial"/>
        </w:rPr>
      </w:pPr>
      <w:r w:rsidRPr="00214121">
        <w:rPr>
          <w:rFonts w:ascii="Arial" w:hAnsi="Arial"/>
        </w:rPr>
        <w:t>The investment property was previously carried at open</w:t>
      </w:r>
      <w:r w:rsidR="00B0560D">
        <w:rPr>
          <w:rFonts w:ascii="Arial" w:hAnsi="Arial"/>
        </w:rPr>
        <w:t>-</w:t>
      </w:r>
      <w:r w:rsidRPr="00214121">
        <w:rPr>
          <w:rFonts w:ascii="Arial" w:hAnsi="Arial"/>
        </w:rPr>
        <w:t xml:space="preserve">market value at each balance sheet date under the </w:t>
      </w:r>
      <w:r w:rsidRPr="00214121">
        <w:rPr>
          <w:rFonts w:ascii="Arial" w:hAnsi="Arial"/>
          <w:i/>
        </w:rPr>
        <w:t>FRSSE</w:t>
      </w:r>
      <w:r w:rsidRPr="00214121">
        <w:rPr>
          <w:rFonts w:ascii="Arial" w:hAnsi="Arial"/>
        </w:rPr>
        <w:t xml:space="preserve"> (effective January 2015).</w:t>
      </w:r>
      <w:r>
        <w:rPr>
          <w:rFonts w:ascii="Arial" w:hAnsi="Arial"/>
        </w:rPr>
        <w:t xml:space="preserve"> </w:t>
      </w:r>
      <w:r w:rsidRPr="00214121">
        <w:rPr>
          <w:rFonts w:ascii="Arial" w:hAnsi="Arial"/>
        </w:rPr>
        <w:t>Gains and losses in respect of this investment property were taken to the revaluation reserve within equity and reported through the statement of total recognised gains and losses; this is because such properties were accounted for under the alternative accounting rules, which required amounts to be transferred to a revaluation reserve.</w:t>
      </w:r>
      <w:r>
        <w:rPr>
          <w:rFonts w:ascii="Arial" w:hAnsi="Arial"/>
        </w:rPr>
        <w:t xml:space="preserve"> </w:t>
      </w:r>
      <w:r w:rsidRPr="00214121">
        <w:rPr>
          <w:rFonts w:ascii="Arial" w:hAnsi="Arial"/>
        </w:rPr>
        <w:t>The accounting treatment for such properties is different under FRS 102, because all fair</w:t>
      </w:r>
      <w:r w:rsidR="003F20CB">
        <w:rPr>
          <w:rFonts w:ascii="Arial" w:hAnsi="Arial"/>
        </w:rPr>
        <w:t xml:space="preserve"> </w:t>
      </w:r>
      <w:r w:rsidRPr="00214121">
        <w:rPr>
          <w:rFonts w:ascii="Arial" w:hAnsi="Arial"/>
        </w:rPr>
        <w:t>value gains and losses must be reported within profit or loss</w:t>
      </w:r>
      <w:r w:rsidR="00CD2435">
        <w:rPr>
          <w:rFonts w:ascii="Arial" w:hAnsi="Arial"/>
        </w:rPr>
        <w:t>.</w:t>
      </w:r>
      <w:r w:rsidRPr="00214121">
        <w:rPr>
          <w:rFonts w:ascii="Arial" w:hAnsi="Arial"/>
        </w:rPr>
        <w:t xml:space="preserve"> (</w:t>
      </w:r>
      <w:r w:rsidR="00CD2435">
        <w:rPr>
          <w:rFonts w:ascii="Arial" w:hAnsi="Arial"/>
        </w:rPr>
        <w:t>N</w:t>
      </w:r>
      <w:r w:rsidRPr="00214121">
        <w:rPr>
          <w:rFonts w:ascii="Arial" w:hAnsi="Arial"/>
        </w:rPr>
        <w:t>ote: FRS 102 does not recognise the concept of ‘operating profit’ but such gains and losses should be regarded as operating gains/losses</w:t>
      </w:r>
      <w:r w:rsidR="00CD2435">
        <w:rPr>
          <w:rFonts w:ascii="Arial" w:hAnsi="Arial"/>
        </w:rPr>
        <w:t>.</w:t>
      </w:r>
      <w:r w:rsidRPr="00214121">
        <w:rPr>
          <w:rFonts w:ascii="Arial" w:hAnsi="Arial"/>
        </w:rPr>
        <w:t>)</w:t>
      </w:r>
      <w:r>
        <w:rPr>
          <w:rFonts w:ascii="Arial" w:hAnsi="Arial"/>
        </w:rPr>
        <w:t xml:space="preserve"> </w:t>
      </w:r>
      <w:r w:rsidRPr="00214121">
        <w:rPr>
          <w:rFonts w:ascii="Arial" w:hAnsi="Arial"/>
        </w:rPr>
        <w:t xml:space="preserve">As the fair value accounting rules are being applied under FRS 102 to the investment property, all gains and losses are taken to profit and loss. </w:t>
      </w:r>
    </w:p>
    <w:p w14:paraId="0F9C90E0" w14:textId="77777777" w:rsidR="007A52A3" w:rsidRPr="00214121" w:rsidRDefault="007A52A3" w:rsidP="00214121">
      <w:pPr>
        <w:spacing w:line="360" w:lineRule="auto"/>
        <w:ind w:left="720"/>
        <w:rPr>
          <w:rFonts w:ascii="Arial" w:hAnsi="Arial"/>
        </w:rPr>
      </w:pPr>
    </w:p>
    <w:p w14:paraId="046E9168" w14:textId="495A8882" w:rsidR="007A52A3" w:rsidRPr="00214121" w:rsidRDefault="007A52A3" w:rsidP="00214121">
      <w:pPr>
        <w:spacing w:line="360" w:lineRule="auto"/>
        <w:rPr>
          <w:rFonts w:ascii="Arial" w:hAnsi="Arial"/>
        </w:rPr>
      </w:pPr>
      <w:r w:rsidRPr="00214121">
        <w:rPr>
          <w:rFonts w:ascii="Arial" w:hAnsi="Arial"/>
        </w:rPr>
        <w:t xml:space="preserve">It is worth noting that the treatment of fair value gains and losses </w:t>
      </w:r>
      <w:r w:rsidRPr="00214121">
        <w:rPr>
          <w:rFonts w:ascii="Arial" w:hAnsi="Arial"/>
          <w:b/>
        </w:rPr>
        <w:t>only differs in respect of investment property</w:t>
      </w:r>
      <w:r w:rsidRPr="00214121">
        <w:rPr>
          <w:rFonts w:ascii="Arial" w:hAnsi="Arial"/>
        </w:rPr>
        <w:t>.</w:t>
      </w:r>
      <w:r>
        <w:rPr>
          <w:rFonts w:ascii="Arial" w:hAnsi="Arial"/>
        </w:rPr>
        <w:t xml:space="preserve"> </w:t>
      </w:r>
      <w:r w:rsidRPr="00214121">
        <w:rPr>
          <w:rFonts w:ascii="Arial" w:hAnsi="Arial"/>
        </w:rPr>
        <w:t>Items of property, plant and equipment which are measured under the revaluation model under Section 17</w:t>
      </w:r>
      <w:r w:rsidR="00DA67A8">
        <w:rPr>
          <w:rFonts w:ascii="Arial" w:hAnsi="Arial"/>
        </w:rPr>
        <w:t>,</w:t>
      </w:r>
      <w:r w:rsidRPr="00214121">
        <w:rPr>
          <w:rFonts w:ascii="Arial" w:hAnsi="Arial"/>
        </w:rPr>
        <w:t xml:space="preserve"> </w:t>
      </w:r>
      <w:r w:rsidR="00DA67A8">
        <w:rPr>
          <w:rFonts w:ascii="Arial" w:hAnsi="Arial"/>
        </w:rPr>
        <w:t>‘</w:t>
      </w:r>
      <w:r w:rsidRPr="00214121">
        <w:rPr>
          <w:rFonts w:ascii="Arial" w:hAnsi="Arial"/>
        </w:rPr>
        <w:t>Property, Plant and Equipment</w:t>
      </w:r>
      <w:r w:rsidR="00DA67A8">
        <w:rPr>
          <w:rFonts w:ascii="Arial" w:hAnsi="Arial"/>
        </w:rPr>
        <w:t>’,</w:t>
      </w:r>
      <w:r w:rsidRPr="00214121">
        <w:rPr>
          <w:rFonts w:ascii="Arial" w:hAnsi="Arial"/>
          <w:i/>
        </w:rPr>
        <w:t xml:space="preserve"> </w:t>
      </w:r>
      <w:r w:rsidRPr="00214121">
        <w:rPr>
          <w:rFonts w:ascii="Arial" w:hAnsi="Arial"/>
        </w:rPr>
        <w:t>are treated in the same way as previous UK GAAP</w:t>
      </w:r>
      <w:r w:rsidRPr="00214121">
        <w:rPr>
          <w:rFonts w:ascii="Arial" w:hAnsi="Arial"/>
          <w:i/>
        </w:rPr>
        <w:t xml:space="preserve"> </w:t>
      </w:r>
      <w:r w:rsidRPr="00214121">
        <w:rPr>
          <w:rFonts w:ascii="Arial" w:hAnsi="Arial"/>
        </w:rPr>
        <w:t xml:space="preserve">and are taken to the revaluation reserve. </w:t>
      </w:r>
    </w:p>
    <w:p w14:paraId="20CD06D2" w14:textId="77777777" w:rsidR="007A52A3" w:rsidRPr="00214121" w:rsidRDefault="007A52A3" w:rsidP="00214121">
      <w:pPr>
        <w:spacing w:line="360" w:lineRule="auto"/>
        <w:rPr>
          <w:rFonts w:ascii="Arial" w:hAnsi="Arial"/>
        </w:rPr>
      </w:pPr>
    </w:p>
    <w:p w14:paraId="748B5711" w14:textId="3133BAF8" w:rsidR="007A52A3" w:rsidRPr="00214121" w:rsidRDefault="007A52A3" w:rsidP="00214121">
      <w:pPr>
        <w:spacing w:line="360" w:lineRule="auto"/>
        <w:rPr>
          <w:rFonts w:ascii="Arial" w:hAnsi="Arial"/>
        </w:rPr>
      </w:pPr>
      <w:r w:rsidRPr="00214121">
        <w:rPr>
          <w:rFonts w:ascii="Arial" w:hAnsi="Arial"/>
        </w:rPr>
        <w:t>The transitional adjustments needed are as follows:</w:t>
      </w:r>
    </w:p>
    <w:p w14:paraId="20980A88" w14:textId="77777777" w:rsidR="007A52A3" w:rsidRPr="00214121" w:rsidRDefault="007A52A3" w:rsidP="00214121">
      <w:pPr>
        <w:spacing w:line="360" w:lineRule="auto"/>
        <w:rPr>
          <w:rFonts w:ascii="Arial" w:hAnsi="Arial"/>
        </w:rPr>
      </w:pPr>
    </w:p>
    <w:p w14:paraId="03D8D7DB" w14:textId="50792870" w:rsidR="007A52A3" w:rsidRPr="00214121" w:rsidRDefault="007A52A3" w:rsidP="00214121">
      <w:pPr>
        <w:spacing w:line="360" w:lineRule="auto"/>
        <w:rPr>
          <w:rFonts w:ascii="Arial" w:hAnsi="Arial"/>
        </w:rPr>
      </w:pPr>
      <w:r w:rsidRPr="00214121">
        <w:rPr>
          <w:rFonts w:ascii="Arial" w:hAnsi="Arial"/>
        </w:rPr>
        <w:tab/>
      </w:r>
      <w:r w:rsidRPr="00214121">
        <w:rPr>
          <w:rFonts w:ascii="Arial" w:hAnsi="Arial"/>
        </w:rPr>
        <w:tab/>
      </w:r>
      <w:r w:rsidRPr="00214121">
        <w:rPr>
          <w:rFonts w:ascii="Arial" w:hAnsi="Arial"/>
        </w:rPr>
        <w:tab/>
      </w:r>
      <w:r w:rsidRPr="00214121">
        <w:rPr>
          <w:rFonts w:ascii="Arial" w:hAnsi="Arial"/>
        </w:rPr>
        <w:tab/>
      </w:r>
      <w:r>
        <w:rPr>
          <w:rFonts w:ascii="Arial" w:hAnsi="Arial"/>
        </w:rPr>
        <w:t xml:space="preserve">         </w:t>
      </w:r>
      <w:r w:rsidR="00DA67A8">
        <w:rPr>
          <w:rFonts w:ascii="Arial" w:hAnsi="Arial"/>
        </w:rPr>
        <w:tab/>
      </w:r>
      <w:r w:rsidR="00DA67A8">
        <w:rPr>
          <w:rFonts w:ascii="Arial" w:hAnsi="Arial"/>
        </w:rPr>
        <w:tab/>
      </w:r>
      <w:r w:rsidRPr="00214121">
        <w:rPr>
          <w:rFonts w:ascii="Arial" w:hAnsi="Arial"/>
        </w:rPr>
        <w:t>£</w:t>
      </w:r>
    </w:p>
    <w:p w14:paraId="30DD94DF" w14:textId="28988A78" w:rsidR="007A52A3" w:rsidRPr="00214121" w:rsidRDefault="007A52A3" w:rsidP="00214121">
      <w:pPr>
        <w:spacing w:line="360" w:lineRule="auto"/>
        <w:rPr>
          <w:rFonts w:ascii="Arial" w:hAnsi="Arial"/>
        </w:rPr>
      </w:pPr>
      <w:r w:rsidRPr="00214121">
        <w:rPr>
          <w:rFonts w:ascii="Arial" w:hAnsi="Arial"/>
        </w:rPr>
        <w:t>Dr revaluation reserve</w:t>
      </w:r>
      <w:r w:rsidRPr="00214121">
        <w:rPr>
          <w:rFonts w:ascii="Arial" w:hAnsi="Arial"/>
        </w:rPr>
        <w:tab/>
      </w:r>
      <w:r w:rsidRPr="00214121">
        <w:rPr>
          <w:rFonts w:ascii="Arial" w:hAnsi="Arial"/>
        </w:rPr>
        <w:tab/>
        <w:t>85,200</w:t>
      </w:r>
    </w:p>
    <w:p w14:paraId="34F316D6" w14:textId="1CFCB9DF" w:rsidR="00CC7B76" w:rsidRPr="00214121" w:rsidRDefault="007A52A3" w:rsidP="00214121">
      <w:pPr>
        <w:spacing w:line="360" w:lineRule="auto"/>
        <w:rPr>
          <w:rFonts w:ascii="Arial" w:hAnsi="Arial"/>
        </w:rPr>
      </w:pPr>
      <w:r w:rsidRPr="00214121">
        <w:rPr>
          <w:rFonts w:ascii="Arial" w:hAnsi="Arial"/>
        </w:rPr>
        <w:t>Cr profit and loss reserves</w:t>
      </w:r>
      <w:r w:rsidRPr="00214121">
        <w:rPr>
          <w:rFonts w:ascii="Arial" w:hAnsi="Arial"/>
        </w:rPr>
        <w:tab/>
      </w:r>
      <w:r w:rsidR="00DA67A8">
        <w:rPr>
          <w:rFonts w:ascii="Arial" w:hAnsi="Arial"/>
        </w:rPr>
        <w:tab/>
      </w:r>
      <w:r w:rsidRPr="00214121">
        <w:rPr>
          <w:rFonts w:ascii="Arial" w:hAnsi="Arial"/>
        </w:rPr>
        <w:t>85,200</w:t>
      </w:r>
    </w:p>
    <w:p w14:paraId="5788B590" w14:textId="4246F218" w:rsidR="007A52A3" w:rsidRPr="00214121" w:rsidRDefault="00E8314A" w:rsidP="00214121">
      <w:pPr>
        <w:spacing w:line="360" w:lineRule="auto"/>
        <w:rPr>
          <w:rFonts w:ascii="Arial" w:hAnsi="Arial"/>
          <w:i/>
        </w:rPr>
      </w:pPr>
      <w:r>
        <w:rPr>
          <w:rFonts w:ascii="Arial" w:hAnsi="Arial"/>
          <w:i/>
        </w:rPr>
        <w:t>b</w:t>
      </w:r>
      <w:r w:rsidR="007A52A3" w:rsidRPr="00214121">
        <w:rPr>
          <w:rFonts w:ascii="Arial" w:hAnsi="Arial"/>
          <w:i/>
        </w:rPr>
        <w:t>eing reallocation of revaluation reserve in respect of the investment property</w:t>
      </w:r>
    </w:p>
    <w:p w14:paraId="32AA3B11" w14:textId="77777777" w:rsidR="007A52A3" w:rsidRPr="00214121" w:rsidRDefault="007A52A3" w:rsidP="00214121">
      <w:pPr>
        <w:spacing w:line="360" w:lineRule="auto"/>
        <w:rPr>
          <w:rFonts w:ascii="Arial" w:hAnsi="Arial"/>
          <w:i/>
        </w:rPr>
      </w:pPr>
    </w:p>
    <w:p w14:paraId="47A8C847" w14:textId="77777777" w:rsidR="007A52A3" w:rsidRPr="00214121" w:rsidRDefault="007A52A3" w:rsidP="00214121">
      <w:pPr>
        <w:spacing w:line="360" w:lineRule="auto"/>
        <w:rPr>
          <w:rFonts w:ascii="Arial" w:hAnsi="Arial"/>
        </w:rPr>
      </w:pPr>
      <w:r w:rsidRPr="00214121">
        <w:rPr>
          <w:rFonts w:ascii="Arial" w:hAnsi="Arial"/>
        </w:rPr>
        <w:t>Where transitional adjustments are concerned, corresponding entries are taken to profit and loss account reserves (retained earnings) as per paragraph 35.8.</w:t>
      </w:r>
    </w:p>
    <w:p w14:paraId="3118221D" w14:textId="77777777" w:rsidR="007A52A3" w:rsidRPr="00214121" w:rsidRDefault="007A52A3" w:rsidP="00214121">
      <w:pPr>
        <w:spacing w:line="360" w:lineRule="auto"/>
        <w:rPr>
          <w:rFonts w:ascii="Arial" w:hAnsi="Arial"/>
        </w:rPr>
      </w:pPr>
    </w:p>
    <w:p w14:paraId="05E16F9B" w14:textId="23065F5D" w:rsidR="007A52A3" w:rsidRPr="00214121" w:rsidRDefault="007A52A3" w:rsidP="00214121">
      <w:pPr>
        <w:spacing w:line="360" w:lineRule="auto"/>
        <w:rPr>
          <w:rFonts w:ascii="Arial" w:hAnsi="Arial"/>
        </w:rPr>
      </w:pPr>
      <w:r w:rsidRPr="00214121">
        <w:rPr>
          <w:rFonts w:ascii="Arial" w:hAnsi="Arial"/>
        </w:rPr>
        <w:lastRenderedPageBreak/>
        <w:t xml:space="preserve">Note: an alternative treatment would be to rename the revaluation reserve ‘fair value reserve’ or ‘undistributable reserves’ to ring-fence those gains </w:t>
      </w:r>
      <w:r w:rsidR="00E8314A">
        <w:rPr>
          <w:rFonts w:ascii="Arial" w:hAnsi="Arial"/>
        </w:rPr>
        <w:t>that</w:t>
      </w:r>
      <w:r w:rsidRPr="00214121">
        <w:rPr>
          <w:rFonts w:ascii="Arial" w:hAnsi="Arial"/>
        </w:rPr>
        <w:t xml:space="preserve"> are not available for distribution to the shareholders.</w:t>
      </w:r>
      <w:r>
        <w:rPr>
          <w:rFonts w:ascii="Arial" w:hAnsi="Arial"/>
        </w:rPr>
        <w:t xml:space="preserve"> </w:t>
      </w:r>
      <w:r w:rsidRPr="00214121">
        <w:rPr>
          <w:rFonts w:ascii="Arial" w:hAnsi="Arial"/>
        </w:rPr>
        <w:t xml:space="preserve">There is nothing in company law </w:t>
      </w:r>
      <w:r w:rsidR="000D572C">
        <w:rPr>
          <w:rFonts w:ascii="Arial" w:hAnsi="Arial"/>
        </w:rPr>
        <w:t>that</w:t>
      </w:r>
      <w:r w:rsidRPr="00214121">
        <w:rPr>
          <w:rFonts w:ascii="Arial" w:hAnsi="Arial"/>
        </w:rPr>
        <w:t xml:space="preserve"> requires this treatment, but it may be advisable to have a separate reserve to take unrealised gains to prevent them from being inappropriately distributed to shareholders.</w:t>
      </w:r>
    </w:p>
    <w:p w14:paraId="34834236" w14:textId="77777777" w:rsidR="007A52A3" w:rsidRPr="00214121" w:rsidRDefault="007A52A3" w:rsidP="00214121">
      <w:pPr>
        <w:spacing w:line="360" w:lineRule="auto"/>
        <w:rPr>
          <w:rFonts w:ascii="Arial" w:hAnsi="Arial"/>
        </w:rPr>
      </w:pPr>
    </w:p>
    <w:p w14:paraId="77AF7B60" w14:textId="57384648" w:rsidR="007A52A3" w:rsidRDefault="007A52A3" w:rsidP="00214121">
      <w:pPr>
        <w:spacing w:line="360" w:lineRule="auto"/>
        <w:rPr>
          <w:rFonts w:ascii="Arial" w:hAnsi="Arial"/>
        </w:rPr>
      </w:pPr>
      <w:r w:rsidRPr="00214121">
        <w:rPr>
          <w:rFonts w:ascii="Arial" w:hAnsi="Arial"/>
        </w:rPr>
        <w:t xml:space="preserve">Paragraph 29.16 requires deferred tax to be brought into consideration where investment properties are concerned to comply with </w:t>
      </w:r>
      <w:r w:rsidR="00C007E6">
        <w:rPr>
          <w:rFonts w:ascii="Arial" w:hAnsi="Arial"/>
        </w:rPr>
        <w:t>s</w:t>
      </w:r>
      <w:r w:rsidRPr="00214121">
        <w:rPr>
          <w:rFonts w:ascii="Arial" w:hAnsi="Arial"/>
        </w:rPr>
        <w:t>ection 29</w:t>
      </w:r>
      <w:r w:rsidR="00C007E6">
        <w:rPr>
          <w:rFonts w:ascii="Arial" w:hAnsi="Arial"/>
        </w:rPr>
        <w:t>,</w:t>
      </w:r>
      <w:r w:rsidRPr="00214121">
        <w:rPr>
          <w:rFonts w:ascii="Arial" w:hAnsi="Arial"/>
        </w:rPr>
        <w:t xml:space="preserve"> </w:t>
      </w:r>
      <w:r w:rsidR="00C007E6" w:rsidRPr="00214121">
        <w:rPr>
          <w:rFonts w:ascii="Arial" w:hAnsi="Arial"/>
        </w:rPr>
        <w:t>‘</w:t>
      </w:r>
      <w:r w:rsidRPr="00214121">
        <w:rPr>
          <w:rFonts w:ascii="Arial" w:hAnsi="Arial"/>
        </w:rPr>
        <w:t>Income Tax</w:t>
      </w:r>
      <w:r w:rsidR="00C007E6" w:rsidRPr="00214121">
        <w:rPr>
          <w:rFonts w:ascii="Arial" w:hAnsi="Arial"/>
        </w:rPr>
        <w:t>’</w:t>
      </w:r>
      <w:r w:rsidRPr="00214121">
        <w:rPr>
          <w:rFonts w:ascii="Arial" w:hAnsi="Arial"/>
        </w:rPr>
        <w:t>.</w:t>
      </w:r>
      <w:r w:rsidRPr="00214121">
        <w:rPr>
          <w:rFonts w:ascii="Arial" w:hAnsi="Arial"/>
          <w:i/>
        </w:rPr>
        <w:t xml:space="preserve"> </w:t>
      </w:r>
      <w:r w:rsidRPr="00214121">
        <w:rPr>
          <w:rFonts w:ascii="Arial" w:hAnsi="Arial"/>
        </w:rPr>
        <w:t>The directors do not envisage selling the investment property in the foreseeable future and paragraph 29.16 requires deferred tax in respect of investment property to be measured using the tax rates and allowances that apply to the sale of the asset.</w:t>
      </w:r>
      <w:r>
        <w:rPr>
          <w:rFonts w:ascii="Arial" w:hAnsi="Arial"/>
        </w:rPr>
        <w:t xml:space="preserve"> </w:t>
      </w:r>
      <w:r w:rsidRPr="00214121">
        <w:rPr>
          <w:rFonts w:ascii="Arial" w:hAnsi="Arial"/>
        </w:rPr>
        <w:t>Therefore, if it is assumed the tax rate which will apply to the sale is 20%, deferred tax (excluding the effects of indexation) is recognised on the investment property at the date of transition as follows:</w:t>
      </w:r>
    </w:p>
    <w:p w14:paraId="4DA81E97" w14:textId="77777777" w:rsidR="00CC7B76" w:rsidRPr="00214121" w:rsidRDefault="00CC7B76" w:rsidP="00214121">
      <w:pPr>
        <w:spacing w:line="360" w:lineRule="auto"/>
        <w:rPr>
          <w:rFonts w:ascii="Arial" w:hAnsi="Arial"/>
        </w:rPr>
      </w:pPr>
    </w:p>
    <w:p w14:paraId="221D0DCF" w14:textId="5F818968" w:rsidR="007A52A3" w:rsidRPr="00214121" w:rsidRDefault="007A52A3" w:rsidP="00214121">
      <w:pPr>
        <w:spacing w:line="360" w:lineRule="auto"/>
        <w:rPr>
          <w:rFonts w:ascii="Arial" w:hAnsi="Arial"/>
        </w:rPr>
      </w:pPr>
      <w:r w:rsidRPr="00214121">
        <w:rPr>
          <w:rFonts w:ascii="Arial" w:hAnsi="Arial"/>
        </w:rPr>
        <w:tab/>
      </w:r>
      <w:r w:rsidRPr="00214121">
        <w:rPr>
          <w:rFonts w:ascii="Arial" w:hAnsi="Arial"/>
        </w:rPr>
        <w:tab/>
      </w:r>
      <w:r w:rsidRPr="00214121">
        <w:rPr>
          <w:rFonts w:ascii="Arial" w:hAnsi="Arial"/>
        </w:rPr>
        <w:tab/>
      </w:r>
      <w:r w:rsidRPr="00214121">
        <w:rPr>
          <w:rFonts w:ascii="Arial" w:hAnsi="Arial"/>
        </w:rPr>
        <w:tab/>
      </w:r>
      <w:r>
        <w:rPr>
          <w:rFonts w:ascii="Arial" w:hAnsi="Arial"/>
        </w:rPr>
        <w:t xml:space="preserve">         </w:t>
      </w:r>
      <w:r w:rsidR="00CC7B76">
        <w:rPr>
          <w:rFonts w:ascii="Arial" w:hAnsi="Arial"/>
        </w:rPr>
        <w:tab/>
      </w:r>
      <w:r w:rsidR="00CC7B76">
        <w:rPr>
          <w:rFonts w:ascii="Arial" w:hAnsi="Arial"/>
        </w:rPr>
        <w:tab/>
      </w:r>
      <w:r w:rsidRPr="00214121">
        <w:rPr>
          <w:rFonts w:ascii="Arial" w:hAnsi="Arial"/>
        </w:rPr>
        <w:t>£</w:t>
      </w:r>
    </w:p>
    <w:p w14:paraId="4FA78275" w14:textId="64FC8A94" w:rsidR="007A52A3" w:rsidRPr="00214121" w:rsidRDefault="007A52A3" w:rsidP="00214121">
      <w:pPr>
        <w:spacing w:line="360" w:lineRule="auto"/>
        <w:rPr>
          <w:rFonts w:ascii="Arial" w:hAnsi="Arial"/>
        </w:rPr>
      </w:pPr>
      <w:r w:rsidRPr="00214121">
        <w:rPr>
          <w:rFonts w:ascii="Arial" w:hAnsi="Arial"/>
        </w:rPr>
        <w:t>Dr profit and loss reserves</w:t>
      </w:r>
      <w:r w:rsidRPr="00214121">
        <w:rPr>
          <w:rFonts w:ascii="Arial" w:hAnsi="Arial"/>
        </w:rPr>
        <w:tab/>
      </w:r>
      <w:r w:rsidR="00CC7B76">
        <w:rPr>
          <w:rFonts w:ascii="Arial" w:hAnsi="Arial"/>
        </w:rPr>
        <w:tab/>
      </w:r>
      <w:r w:rsidRPr="00214121">
        <w:rPr>
          <w:rFonts w:ascii="Arial" w:hAnsi="Arial"/>
        </w:rPr>
        <w:t>17,040</w:t>
      </w:r>
    </w:p>
    <w:p w14:paraId="2DE92E37" w14:textId="23E1801E" w:rsidR="007A52A3" w:rsidRPr="00214121" w:rsidRDefault="007A52A3" w:rsidP="00214121">
      <w:pPr>
        <w:spacing w:line="360" w:lineRule="auto"/>
        <w:rPr>
          <w:rFonts w:ascii="Arial" w:hAnsi="Arial"/>
        </w:rPr>
      </w:pPr>
      <w:r w:rsidRPr="00214121">
        <w:rPr>
          <w:rFonts w:ascii="Arial" w:hAnsi="Arial"/>
        </w:rPr>
        <w:t>Cr deferred tax provision</w:t>
      </w:r>
      <w:r w:rsidRPr="00214121">
        <w:rPr>
          <w:rFonts w:ascii="Arial" w:hAnsi="Arial"/>
        </w:rPr>
        <w:tab/>
      </w:r>
      <w:r w:rsidR="00CC7B76">
        <w:rPr>
          <w:rFonts w:ascii="Arial" w:hAnsi="Arial"/>
        </w:rPr>
        <w:tab/>
      </w:r>
      <w:r w:rsidRPr="00214121">
        <w:rPr>
          <w:rFonts w:ascii="Arial" w:hAnsi="Arial"/>
        </w:rPr>
        <w:t>17,040</w:t>
      </w:r>
    </w:p>
    <w:p w14:paraId="659EC966" w14:textId="54421227" w:rsidR="007A52A3" w:rsidRPr="00214121" w:rsidRDefault="00CC7B76" w:rsidP="00214121">
      <w:pPr>
        <w:spacing w:line="360" w:lineRule="auto"/>
        <w:rPr>
          <w:rFonts w:ascii="Arial" w:hAnsi="Arial"/>
        </w:rPr>
      </w:pPr>
      <w:r>
        <w:rPr>
          <w:rFonts w:ascii="Arial" w:hAnsi="Arial"/>
          <w:i/>
        </w:rPr>
        <w:t>b</w:t>
      </w:r>
      <w:r w:rsidR="007A52A3" w:rsidRPr="00214121">
        <w:rPr>
          <w:rFonts w:ascii="Arial" w:hAnsi="Arial"/>
          <w:i/>
        </w:rPr>
        <w:t>eing deferred tax on the investment property revaluation (£85,200 x 20%)</w:t>
      </w:r>
    </w:p>
    <w:p w14:paraId="17A12A98" w14:textId="77777777" w:rsidR="007A52A3" w:rsidRPr="00214121" w:rsidRDefault="007A52A3" w:rsidP="00214121">
      <w:pPr>
        <w:spacing w:line="360" w:lineRule="auto"/>
        <w:rPr>
          <w:rFonts w:ascii="Arial" w:hAnsi="Arial"/>
        </w:rPr>
      </w:pPr>
    </w:p>
    <w:p w14:paraId="1CEBC936" w14:textId="6E508D91" w:rsidR="007A52A3" w:rsidRPr="00214121" w:rsidRDefault="007A52A3" w:rsidP="00214121">
      <w:pPr>
        <w:spacing w:line="360" w:lineRule="auto"/>
        <w:rPr>
          <w:rFonts w:ascii="Arial" w:hAnsi="Arial"/>
        </w:rPr>
      </w:pPr>
      <w:r w:rsidRPr="00214121">
        <w:rPr>
          <w:rFonts w:ascii="Arial" w:hAnsi="Arial"/>
        </w:rPr>
        <w:t>Note: if Smallco Ltd were to recognise unrealised gains and losses in a separate reserve, the debit would have been taken to that specific reserve.</w:t>
      </w:r>
      <w:r>
        <w:rPr>
          <w:rFonts w:ascii="Arial" w:hAnsi="Arial"/>
        </w:rPr>
        <w:t xml:space="preserve"> </w:t>
      </w:r>
      <w:r w:rsidRPr="00214121">
        <w:rPr>
          <w:rFonts w:ascii="Arial" w:hAnsi="Arial"/>
        </w:rPr>
        <w:t>The concept of ‘tax treatment follows accounting treatment’ applies in respect of deferred tax.</w:t>
      </w:r>
    </w:p>
    <w:p w14:paraId="1C92D4BE" w14:textId="77777777" w:rsidR="007A52A3" w:rsidRPr="00214121" w:rsidRDefault="007A52A3" w:rsidP="00214121">
      <w:pPr>
        <w:spacing w:line="360" w:lineRule="auto"/>
        <w:rPr>
          <w:rFonts w:ascii="Arial" w:hAnsi="Arial"/>
        </w:rPr>
      </w:pPr>
    </w:p>
    <w:p w14:paraId="47F8325F" w14:textId="63DD11CB" w:rsidR="007A52A3" w:rsidRPr="00214121" w:rsidRDefault="007A52A3" w:rsidP="00214121">
      <w:pPr>
        <w:spacing w:line="360" w:lineRule="auto"/>
        <w:rPr>
          <w:rFonts w:ascii="Arial" w:hAnsi="Arial"/>
        </w:rPr>
      </w:pPr>
      <w:r w:rsidRPr="00214121">
        <w:rPr>
          <w:rFonts w:ascii="Arial" w:hAnsi="Arial"/>
        </w:rPr>
        <w:t>The net gain of £68,160 (£85,200 less £17,040) must not be distributed to shareholders because it is an unrealised gain.</w:t>
      </w:r>
      <w:r>
        <w:rPr>
          <w:rFonts w:ascii="Arial" w:hAnsi="Arial"/>
        </w:rPr>
        <w:t xml:space="preserve"> </w:t>
      </w:r>
      <w:r w:rsidRPr="00214121">
        <w:rPr>
          <w:rFonts w:ascii="Arial" w:hAnsi="Arial"/>
        </w:rPr>
        <w:t>Gains only become realised gains when they are readily convertible into cash, and a fair value gain on investment property is not readily convertible into cash.</w:t>
      </w:r>
    </w:p>
    <w:p w14:paraId="17B14CF1" w14:textId="77777777" w:rsidR="007A52A3" w:rsidRPr="00214121" w:rsidRDefault="007A52A3" w:rsidP="00214121">
      <w:pPr>
        <w:spacing w:line="360" w:lineRule="auto"/>
        <w:ind w:left="720"/>
        <w:rPr>
          <w:rFonts w:ascii="Arial" w:hAnsi="Arial"/>
        </w:rPr>
      </w:pPr>
    </w:p>
    <w:p w14:paraId="07E178A5" w14:textId="180C5AD7" w:rsidR="007A52A3" w:rsidRPr="00214121" w:rsidRDefault="00CC7B76" w:rsidP="00214121">
      <w:pPr>
        <w:spacing w:line="360" w:lineRule="auto"/>
        <w:rPr>
          <w:rFonts w:ascii="Arial" w:hAnsi="Arial"/>
          <w:b/>
        </w:rPr>
      </w:pPr>
      <w:r w:rsidRPr="00214121">
        <w:rPr>
          <w:rFonts w:ascii="Arial" w:hAnsi="Arial"/>
          <w:b/>
        </w:rPr>
        <w:t xml:space="preserve">2. </w:t>
      </w:r>
      <w:r w:rsidR="007A52A3" w:rsidRPr="00214121">
        <w:rPr>
          <w:rFonts w:ascii="Arial" w:hAnsi="Arial"/>
          <w:b/>
        </w:rPr>
        <w:t>Interest-free loan to subsidiary company</w:t>
      </w:r>
    </w:p>
    <w:p w14:paraId="6FDE032B" w14:textId="36BA2C6C" w:rsidR="007A52A3" w:rsidRPr="00214121" w:rsidRDefault="007A52A3" w:rsidP="00214121">
      <w:pPr>
        <w:spacing w:line="360" w:lineRule="auto"/>
        <w:rPr>
          <w:rFonts w:ascii="Arial" w:hAnsi="Arial"/>
        </w:rPr>
      </w:pPr>
      <w:r w:rsidRPr="00214121">
        <w:rPr>
          <w:rFonts w:ascii="Arial" w:hAnsi="Arial"/>
        </w:rPr>
        <w:t>There are no specific terms attached to the loan made to the subsidiary company.</w:t>
      </w:r>
      <w:r>
        <w:rPr>
          <w:rFonts w:ascii="Arial" w:hAnsi="Arial"/>
        </w:rPr>
        <w:t xml:space="preserve"> </w:t>
      </w:r>
      <w:r w:rsidRPr="00214121">
        <w:rPr>
          <w:rFonts w:ascii="Arial" w:hAnsi="Arial"/>
        </w:rPr>
        <w:t>If there were terms in existence, then consideration would have to be given to the maturity date.</w:t>
      </w:r>
      <w:r>
        <w:rPr>
          <w:rFonts w:ascii="Arial" w:hAnsi="Arial"/>
        </w:rPr>
        <w:t xml:space="preserve"> </w:t>
      </w:r>
      <w:r w:rsidRPr="00214121">
        <w:rPr>
          <w:rFonts w:ascii="Arial" w:hAnsi="Arial"/>
        </w:rPr>
        <w:t xml:space="preserve">If the loan is repayable after more than 12 months, then it would have to be accounted for using the amortised cost method under </w:t>
      </w:r>
      <w:r w:rsidR="00C007E6">
        <w:rPr>
          <w:rFonts w:ascii="Arial" w:hAnsi="Arial"/>
        </w:rPr>
        <w:t>s</w:t>
      </w:r>
      <w:r w:rsidRPr="00214121">
        <w:rPr>
          <w:rFonts w:ascii="Arial" w:hAnsi="Arial"/>
        </w:rPr>
        <w:t>ection 11</w:t>
      </w:r>
      <w:r w:rsidR="00C007E6">
        <w:rPr>
          <w:rFonts w:ascii="Arial" w:hAnsi="Arial"/>
        </w:rPr>
        <w:t>,</w:t>
      </w:r>
      <w:r w:rsidRPr="00214121">
        <w:rPr>
          <w:rFonts w:ascii="Arial" w:hAnsi="Arial"/>
        </w:rPr>
        <w:t xml:space="preserve"> </w:t>
      </w:r>
      <w:r w:rsidR="00C007E6" w:rsidRPr="00214121">
        <w:rPr>
          <w:rFonts w:ascii="Arial" w:hAnsi="Arial"/>
        </w:rPr>
        <w:t>‘</w:t>
      </w:r>
      <w:r w:rsidRPr="00214121">
        <w:rPr>
          <w:rFonts w:ascii="Arial" w:hAnsi="Arial"/>
        </w:rPr>
        <w:t>Basic Financial Instruments</w:t>
      </w:r>
      <w:r w:rsidR="00C007E6" w:rsidRPr="00214121">
        <w:rPr>
          <w:rFonts w:ascii="Arial" w:hAnsi="Arial"/>
        </w:rPr>
        <w:t>’</w:t>
      </w:r>
      <w:r w:rsidR="00C007E6">
        <w:rPr>
          <w:rFonts w:ascii="Arial" w:hAnsi="Arial"/>
        </w:rPr>
        <w:t xml:space="preserve">, </w:t>
      </w:r>
      <w:r w:rsidRPr="00214121">
        <w:rPr>
          <w:rFonts w:ascii="Arial" w:hAnsi="Arial"/>
          <w:i/>
        </w:rPr>
        <w:t xml:space="preserve"> </w:t>
      </w:r>
      <w:r w:rsidRPr="00214121">
        <w:rPr>
          <w:rFonts w:ascii="Arial" w:hAnsi="Arial"/>
        </w:rPr>
        <w:t>which uses the effective interest method (although Smallco could use the optional exemption in paragraph 35.10(v) and not restate the comparative information to comply with the requirements of paragraph 11.13 at its transition date).</w:t>
      </w:r>
      <w:r>
        <w:rPr>
          <w:rFonts w:ascii="Arial" w:hAnsi="Arial"/>
        </w:rPr>
        <w:t xml:space="preserve"> </w:t>
      </w:r>
    </w:p>
    <w:p w14:paraId="332C6F6C" w14:textId="77777777" w:rsidR="007A52A3" w:rsidRPr="00214121" w:rsidRDefault="007A52A3" w:rsidP="00214121">
      <w:pPr>
        <w:spacing w:line="360" w:lineRule="auto"/>
        <w:rPr>
          <w:rFonts w:ascii="Arial" w:hAnsi="Arial"/>
        </w:rPr>
      </w:pPr>
    </w:p>
    <w:p w14:paraId="49DC7436" w14:textId="4CF16BB2" w:rsidR="0029113E" w:rsidRPr="009F0192" w:rsidRDefault="007A52A3" w:rsidP="009F0192">
      <w:pPr>
        <w:spacing w:line="360" w:lineRule="auto"/>
        <w:rPr>
          <w:rFonts w:ascii="Times" w:hAnsi="Times"/>
          <w:sz w:val="20"/>
          <w:szCs w:val="20"/>
        </w:rPr>
      </w:pPr>
      <w:r w:rsidRPr="00214121">
        <w:rPr>
          <w:rFonts w:ascii="Arial" w:hAnsi="Arial"/>
        </w:rPr>
        <w:t xml:space="preserve">A market rate of interest </w:t>
      </w:r>
      <w:r w:rsidRPr="0029113E">
        <w:rPr>
          <w:rFonts w:ascii="Arial" w:hAnsi="Arial"/>
        </w:rPr>
        <w:t>would have to be established (such as the rate of interest the subsidiary company would pay for an equivalent loan from its bank)</w:t>
      </w:r>
      <w:r w:rsidR="00FD3B6B" w:rsidRPr="0029113E">
        <w:rPr>
          <w:rFonts w:ascii="Arial" w:hAnsi="Arial"/>
        </w:rPr>
        <w:t>,</w:t>
      </w:r>
      <w:r w:rsidRPr="0029113E">
        <w:rPr>
          <w:rFonts w:ascii="Arial" w:hAnsi="Arial"/>
        </w:rPr>
        <w:t xml:space="preserve"> and reflect this interest credit in Smallco’s profit and loss account and as a finance cost in the subsidiary’s profit and loss account. </w:t>
      </w:r>
      <w:r w:rsidRPr="009F0192">
        <w:rPr>
          <w:rFonts w:ascii="Arial" w:hAnsi="Arial"/>
        </w:rPr>
        <w:t xml:space="preserve">The entries in Smallco </w:t>
      </w:r>
      <w:r w:rsidR="00C86651" w:rsidRPr="009F0192">
        <w:rPr>
          <w:rFonts w:ascii="Arial" w:hAnsi="Arial"/>
        </w:rPr>
        <w:t>would</w:t>
      </w:r>
      <w:r w:rsidRPr="009F0192">
        <w:rPr>
          <w:rFonts w:ascii="Arial" w:hAnsi="Arial"/>
        </w:rPr>
        <w:t xml:space="preserve"> debit the loan receivable and credit interest income in </w:t>
      </w:r>
      <w:r w:rsidRPr="009F0192">
        <w:rPr>
          <w:rFonts w:ascii="Arial" w:hAnsi="Arial" w:cs="Arial"/>
        </w:rPr>
        <w:t>profit and loss while the subsidiary would debit interest payable and similar expenses</w:t>
      </w:r>
      <w:r w:rsidR="00C86651" w:rsidRPr="009F0192">
        <w:rPr>
          <w:rFonts w:ascii="Arial" w:hAnsi="Arial" w:cs="Arial"/>
        </w:rPr>
        <w:t>,</w:t>
      </w:r>
      <w:r w:rsidRPr="009F0192">
        <w:rPr>
          <w:rFonts w:ascii="Arial" w:hAnsi="Arial" w:cs="Arial"/>
        </w:rPr>
        <w:t xml:space="preserve"> </w:t>
      </w:r>
      <w:r w:rsidR="0029113E" w:rsidRPr="009F0192">
        <w:rPr>
          <w:rFonts w:ascii="Arial" w:hAnsi="Arial" w:cs="Arial"/>
          <w:shd w:val="clear" w:color="auto" w:fill="FFFFFF"/>
        </w:rPr>
        <w:t>and credit the loan account/accruals.</w:t>
      </w:r>
    </w:p>
    <w:p w14:paraId="11FE889C" w14:textId="3F6E5543" w:rsidR="007A52A3" w:rsidRPr="009F0192" w:rsidRDefault="007A52A3" w:rsidP="00214121">
      <w:pPr>
        <w:spacing w:line="360" w:lineRule="auto"/>
        <w:rPr>
          <w:rFonts w:ascii="Arial" w:hAnsi="Arial"/>
        </w:rPr>
      </w:pPr>
      <w:r w:rsidRPr="009F0192">
        <w:rPr>
          <w:rFonts w:ascii="Arial" w:hAnsi="Arial"/>
        </w:rPr>
        <w:t xml:space="preserve"> </w:t>
      </w:r>
    </w:p>
    <w:p w14:paraId="6CCB8AFB" w14:textId="310F8AF7" w:rsidR="007A52A3" w:rsidRPr="00214121" w:rsidRDefault="007A52A3" w:rsidP="00214121">
      <w:pPr>
        <w:spacing w:line="360" w:lineRule="auto"/>
        <w:rPr>
          <w:rFonts w:ascii="Arial" w:hAnsi="Arial"/>
        </w:rPr>
      </w:pPr>
      <w:r w:rsidRPr="00214121">
        <w:rPr>
          <w:rFonts w:ascii="Arial" w:hAnsi="Arial"/>
        </w:rPr>
        <w:t>As there are no specific terms attached to this loan, the default presumption is that the loan is repayable on demand and hence it is to be treated as such in the balance sheet on transition, in the prior year and going forward.</w:t>
      </w:r>
      <w:r>
        <w:rPr>
          <w:rFonts w:ascii="Arial" w:hAnsi="Arial"/>
        </w:rPr>
        <w:t xml:space="preserve"> </w:t>
      </w:r>
      <w:r w:rsidRPr="00214121">
        <w:rPr>
          <w:rFonts w:ascii="Arial" w:hAnsi="Arial"/>
        </w:rPr>
        <w:t>Whil</w:t>
      </w:r>
      <w:r w:rsidR="007001B8">
        <w:rPr>
          <w:rFonts w:ascii="Arial" w:hAnsi="Arial"/>
        </w:rPr>
        <w:t>e</w:t>
      </w:r>
      <w:r w:rsidRPr="00214121">
        <w:rPr>
          <w:rFonts w:ascii="Arial" w:hAnsi="Arial"/>
        </w:rPr>
        <w:t xml:space="preserve"> this may not be such an issue for Smallco, if the subsidiary has classified the loan as a long-term liability, it would have to move it up to current liabilities in its balance sheet.</w:t>
      </w:r>
      <w:r>
        <w:rPr>
          <w:rFonts w:ascii="Arial" w:hAnsi="Arial"/>
        </w:rPr>
        <w:t xml:space="preserve"> </w:t>
      </w:r>
      <w:r w:rsidRPr="00214121">
        <w:rPr>
          <w:rFonts w:ascii="Arial" w:hAnsi="Arial"/>
        </w:rPr>
        <w:t>This will reduce the value of the subsidiary’s net current assets, or turn net current assets into net current liabilities or even increase net current liabilities.</w:t>
      </w:r>
      <w:r>
        <w:rPr>
          <w:rFonts w:ascii="Arial" w:hAnsi="Arial"/>
        </w:rPr>
        <w:t xml:space="preserve"> </w:t>
      </w:r>
      <w:r w:rsidRPr="00214121">
        <w:rPr>
          <w:rFonts w:ascii="Arial" w:hAnsi="Arial"/>
        </w:rPr>
        <w:t>This is an important planning point prior to the transition as reallocating loans from long-term to current may impact credit</w:t>
      </w:r>
      <w:r w:rsidR="009F783C">
        <w:rPr>
          <w:rFonts w:ascii="Arial" w:hAnsi="Arial"/>
        </w:rPr>
        <w:t xml:space="preserve"> </w:t>
      </w:r>
      <w:r w:rsidRPr="00214121">
        <w:rPr>
          <w:rFonts w:ascii="Arial" w:hAnsi="Arial"/>
        </w:rPr>
        <w:t>ratings and the views of lenders and creditors.</w:t>
      </w:r>
    </w:p>
    <w:p w14:paraId="579FB5DE" w14:textId="77777777" w:rsidR="007A52A3" w:rsidRPr="00214121" w:rsidRDefault="007A52A3" w:rsidP="00214121">
      <w:pPr>
        <w:spacing w:line="360" w:lineRule="auto"/>
        <w:rPr>
          <w:rFonts w:ascii="Arial" w:hAnsi="Arial"/>
        </w:rPr>
      </w:pPr>
    </w:p>
    <w:p w14:paraId="2510FB10" w14:textId="0BE163FA" w:rsidR="007A52A3" w:rsidRPr="00214121" w:rsidRDefault="008977BA" w:rsidP="00214121">
      <w:pPr>
        <w:spacing w:line="360" w:lineRule="auto"/>
        <w:rPr>
          <w:rFonts w:ascii="Arial" w:hAnsi="Arial"/>
          <w:b/>
        </w:rPr>
      </w:pPr>
      <w:r w:rsidRPr="00214121">
        <w:rPr>
          <w:rFonts w:ascii="Arial" w:hAnsi="Arial"/>
          <w:b/>
        </w:rPr>
        <w:t xml:space="preserve">3. </w:t>
      </w:r>
      <w:r w:rsidR="007A52A3" w:rsidRPr="00214121">
        <w:rPr>
          <w:rFonts w:ascii="Arial" w:hAnsi="Arial"/>
          <w:b/>
        </w:rPr>
        <w:t>Holiday pay accruals</w:t>
      </w:r>
    </w:p>
    <w:p w14:paraId="177C607E" w14:textId="579FC35B" w:rsidR="007A52A3" w:rsidRPr="00214121" w:rsidRDefault="007A52A3" w:rsidP="00214121">
      <w:pPr>
        <w:spacing w:line="360" w:lineRule="auto"/>
        <w:rPr>
          <w:rFonts w:ascii="Arial" w:hAnsi="Arial"/>
        </w:rPr>
      </w:pPr>
      <w:r w:rsidRPr="00214121">
        <w:rPr>
          <w:rFonts w:ascii="Arial" w:hAnsi="Arial"/>
        </w:rPr>
        <w:t>The holiday year at Smallco is not coterminous with its year</w:t>
      </w:r>
      <w:r w:rsidR="0067172F">
        <w:rPr>
          <w:rFonts w:ascii="Arial" w:hAnsi="Arial"/>
        </w:rPr>
        <w:t xml:space="preserve"> </w:t>
      </w:r>
      <w:r w:rsidRPr="00214121">
        <w:rPr>
          <w:rFonts w:ascii="Arial" w:hAnsi="Arial"/>
        </w:rPr>
        <w:t>end.</w:t>
      </w:r>
      <w:r>
        <w:rPr>
          <w:rFonts w:ascii="Arial" w:hAnsi="Arial"/>
        </w:rPr>
        <w:t xml:space="preserve"> </w:t>
      </w:r>
      <w:r w:rsidRPr="00214121">
        <w:rPr>
          <w:rFonts w:ascii="Arial" w:hAnsi="Arial"/>
        </w:rPr>
        <w:t>It is not always advisable to align the holiday year with the financial year simply for financial reporting purposes</w:t>
      </w:r>
      <w:r w:rsidR="0067172F">
        <w:rPr>
          <w:rFonts w:ascii="Arial" w:hAnsi="Arial"/>
        </w:rPr>
        <w:t>,</w:t>
      </w:r>
      <w:r w:rsidRPr="00214121">
        <w:rPr>
          <w:rFonts w:ascii="Arial" w:hAnsi="Arial"/>
        </w:rPr>
        <w:t xml:space="preserve"> and in situations where the holiday year is not aligned to the accounting reference date, holiday pay accruals will be needed to comply with the requirements of </w:t>
      </w:r>
      <w:r w:rsidR="0067172F">
        <w:rPr>
          <w:rFonts w:ascii="Arial" w:hAnsi="Arial"/>
        </w:rPr>
        <w:t>s</w:t>
      </w:r>
      <w:r w:rsidRPr="00214121">
        <w:rPr>
          <w:rFonts w:ascii="Arial" w:hAnsi="Arial"/>
        </w:rPr>
        <w:t>ection 28</w:t>
      </w:r>
      <w:r w:rsidR="0067172F" w:rsidRPr="00214121">
        <w:rPr>
          <w:rFonts w:ascii="Arial" w:hAnsi="Arial"/>
        </w:rPr>
        <w:t>,</w:t>
      </w:r>
      <w:r w:rsidRPr="00214121">
        <w:rPr>
          <w:rFonts w:ascii="Arial" w:hAnsi="Arial"/>
        </w:rPr>
        <w:t xml:space="preserve"> </w:t>
      </w:r>
      <w:r w:rsidR="0067172F" w:rsidRPr="00214121">
        <w:rPr>
          <w:rFonts w:ascii="Arial" w:hAnsi="Arial"/>
        </w:rPr>
        <w:t>‘</w:t>
      </w:r>
      <w:r w:rsidRPr="00214121">
        <w:rPr>
          <w:rFonts w:ascii="Arial" w:hAnsi="Arial"/>
        </w:rPr>
        <w:t>Employee Benefits</w:t>
      </w:r>
      <w:r w:rsidR="0067172F" w:rsidRPr="00214121">
        <w:rPr>
          <w:rFonts w:ascii="Arial" w:hAnsi="Arial"/>
        </w:rPr>
        <w:t>’</w:t>
      </w:r>
      <w:r w:rsidRPr="00214121">
        <w:rPr>
          <w:rFonts w:ascii="Arial" w:hAnsi="Arial"/>
        </w:rPr>
        <w:t xml:space="preserve">. It is also to be noted that it is possible that holiday pay </w:t>
      </w:r>
      <w:r w:rsidRPr="00214121">
        <w:rPr>
          <w:rFonts w:ascii="Arial" w:hAnsi="Arial"/>
          <w:i/>
        </w:rPr>
        <w:t>prepayments</w:t>
      </w:r>
      <w:r w:rsidRPr="00214121">
        <w:rPr>
          <w:rFonts w:ascii="Arial" w:hAnsi="Arial"/>
        </w:rPr>
        <w:t xml:space="preserve"> might be recognised depending on where the entity’s holiday year is in relation to the financial year.</w:t>
      </w:r>
    </w:p>
    <w:p w14:paraId="198E86C9" w14:textId="77777777" w:rsidR="007A52A3" w:rsidRPr="00214121" w:rsidRDefault="007A52A3" w:rsidP="00214121">
      <w:pPr>
        <w:spacing w:line="360" w:lineRule="auto"/>
        <w:rPr>
          <w:rFonts w:ascii="Arial" w:hAnsi="Arial"/>
        </w:rPr>
      </w:pPr>
      <w:r w:rsidRPr="00214121">
        <w:rPr>
          <w:rFonts w:ascii="Arial" w:hAnsi="Arial"/>
        </w:rPr>
        <w:tab/>
      </w:r>
    </w:p>
    <w:p w14:paraId="0BD58BAA" w14:textId="74181404" w:rsidR="007A52A3" w:rsidRDefault="007A52A3" w:rsidP="00214121">
      <w:pPr>
        <w:spacing w:line="360" w:lineRule="auto"/>
        <w:rPr>
          <w:rFonts w:ascii="Arial" w:hAnsi="Arial"/>
        </w:rPr>
      </w:pPr>
      <w:r w:rsidRPr="00214121">
        <w:rPr>
          <w:rFonts w:ascii="Arial" w:hAnsi="Arial"/>
        </w:rPr>
        <w:t>In the example, the payroll clerk has calculated that an amount of £7,200 was due to employees as at 30 April 2015 and that this amount had not previously been recognised.</w:t>
      </w:r>
      <w:r>
        <w:rPr>
          <w:rFonts w:ascii="Arial" w:hAnsi="Arial"/>
        </w:rPr>
        <w:t xml:space="preserve"> </w:t>
      </w:r>
      <w:r w:rsidRPr="00214121">
        <w:rPr>
          <w:rFonts w:ascii="Arial" w:hAnsi="Arial"/>
        </w:rPr>
        <w:t>Therefore, the transitional adjustments are as follows:</w:t>
      </w:r>
    </w:p>
    <w:p w14:paraId="38D39C64" w14:textId="77777777" w:rsidR="00301491" w:rsidRPr="00214121" w:rsidRDefault="00301491" w:rsidP="00214121">
      <w:pPr>
        <w:spacing w:line="360" w:lineRule="auto"/>
        <w:rPr>
          <w:rFonts w:ascii="Arial" w:hAnsi="Arial"/>
        </w:rPr>
      </w:pPr>
    </w:p>
    <w:p w14:paraId="4910D54C" w14:textId="6339BB4E" w:rsidR="007A52A3" w:rsidRPr="00214121" w:rsidRDefault="00301491" w:rsidP="00214121">
      <w:pPr>
        <w:tabs>
          <w:tab w:val="right" w:pos="3969"/>
        </w:tabs>
        <w:spacing w:line="360" w:lineRule="auto"/>
        <w:rPr>
          <w:rFonts w:ascii="Arial" w:hAnsi="Arial"/>
        </w:rPr>
      </w:pPr>
      <w:r>
        <w:rPr>
          <w:rFonts w:ascii="Arial" w:hAnsi="Arial"/>
        </w:rPr>
        <w:tab/>
      </w:r>
      <w:r w:rsidR="007A52A3" w:rsidRPr="00214121">
        <w:rPr>
          <w:rFonts w:ascii="Arial" w:hAnsi="Arial"/>
        </w:rPr>
        <w:t>£</w:t>
      </w:r>
    </w:p>
    <w:p w14:paraId="25D3A44B" w14:textId="05235A8F" w:rsidR="007A52A3" w:rsidRPr="00214121" w:rsidRDefault="007A52A3" w:rsidP="00214121">
      <w:pPr>
        <w:spacing w:line="360" w:lineRule="auto"/>
        <w:rPr>
          <w:rFonts w:ascii="Arial" w:hAnsi="Arial"/>
        </w:rPr>
      </w:pPr>
      <w:r w:rsidRPr="00214121">
        <w:rPr>
          <w:rFonts w:ascii="Arial" w:hAnsi="Arial"/>
        </w:rPr>
        <w:t>Dr profit and loss reserves</w:t>
      </w:r>
      <w:r w:rsidRPr="00214121">
        <w:rPr>
          <w:rFonts w:ascii="Arial" w:hAnsi="Arial"/>
        </w:rPr>
        <w:tab/>
      </w:r>
      <w:r w:rsidR="00301491">
        <w:rPr>
          <w:rFonts w:ascii="Arial" w:hAnsi="Arial"/>
        </w:rPr>
        <w:tab/>
      </w:r>
      <w:r w:rsidRPr="00214121">
        <w:rPr>
          <w:rFonts w:ascii="Arial" w:hAnsi="Arial"/>
        </w:rPr>
        <w:t>7,200</w:t>
      </w:r>
    </w:p>
    <w:p w14:paraId="55381FA3" w14:textId="310ED751" w:rsidR="007A52A3" w:rsidRPr="00214121" w:rsidRDefault="007A52A3" w:rsidP="00214121">
      <w:pPr>
        <w:spacing w:line="360" w:lineRule="auto"/>
        <w:rPr>
          <w:rFonts w:ascii="Arial" w:hAnsi="Arial"/>
        </w:rPr>
      </w:pPr>
      <w:r w:rsidRPr="00214121">
        <w:rPr>
          <w:rFonts w:ascii="Arial" w:hAnsi="Arial"/>
        </w:rPr>
        <w:t>Cr accruals</w:t>
      </w:r>
      <w:r w:rsidRPr="00214121">
        <w:rPr>
          <w:rFonts w:ascii="Arial" w:hAnsi="Arial"/>
        </w:rPr>
        <w:tab/>
      </w:r>
      <w:r w:rsidRPr="00214121">
        <w:rPr>
          <w:rFonts w:ascii="Arial" w:hAnsi="Arial"/>
        </w:rPr>
        <w:tab/>
      </w:r>
      <w:r w:rsidRPr="00214121">
        <w:rPr>
          <w:rFonts w:ascii="Arial" w:hAnsi="Arial"/>
        </w:rPr>
        <w:tab/>
      </w:r>
      <w:r w:rsidR="00301491">
        <w:rPr>
          <w:rFonts w:ascii="Arial" w:hAnsi="Arial"/>
        </w:rPr>
        <w:tab/>
      </w:r>
      <w:r w:rsidRPr="00214121">
        <w:rPr>
          <w:rFonts w:ascii="Arial" w:hAnsi="Arial"/>
        </w:rPr>
        <w:t>7,200</w:t>
      </w:r>
    </w:p>
    <w:p w14:paraId="65229BA9" w14:textId="4E49ED59" w:rsidR="007A52A3" w:rsidRPr="00214121" w:rsidRDefault="00301491" w:rsidP="00214121">
      <w:pPr>
        <w:spacing w:line="360" w:lineRule="auto"/>
        <w:rPr>
          <w:rFonts w:ascii="Arial" w:hAnsi="Arial"/>
          <w:i/>
        </w:rPr>
      </w:pPr>
      <w:r>
        <w:rPr>
          <w:rFonts w:ascii="Arial" w:hAnsi="Arial"/>
          <w:i/>
        </w:rPr>
        <w:t>b</w:t>
      </w:r>
      <w:r w:rsidR="007A52A3" w:rsidRPr="00214121">
        <w:rPr>
          <w:rFonts w:ascii="Arial" w:hAnsi="Arial"/>
          <w:i/>
        </w:rPr>
        <w:t>eing holiday pay accruals as at 30 April 2015</w:t>
      </w:r>
    </w:p>
    <w:p w14:paraId="7BBA8E5D" w14:textId="77777777" w:rsidR="007A52A3" w:rsidRPr="00214121" w:rsidRDefault="007A52A3" w:rsidP="00214121">
      <w:pPr>
        <w:spacing w:line="360" w:lineRule="auto"/>
        <w:rPr>
          <w:rFonts w:ascii="Arial" w:hAnsi="Arial"/>
          <w:i/>
        </w:rPr>
      </w:pPr>
    </w:p>
    <w:p w14:paraId="3EF47C2C" w14:textId="77777777" w:rsidR="007A52A3" w:rsidRPr="00214121" w:rsidRDefault="007A52A3" w:rsidP="00214121">
      <w:pPr>
        <w:spacing w:line="360" w:lineRule="auto"/>
        <w:rPr>
          <w:rFonts w:ascii="Arial" w:hAnsi="Arial"/>
        </w:rPr>
      </w:pPr>
      <w:r w:rsidRPr="00214121">
        <w:rPr>
          <w:rFonts w:ascii="Arial" w:hAnsi="Arial"/>
        </w:rPr>
        <w:lastRenderedPageBreak/>
        <w:t xml:space="preserve">Tax implications have been ignored for the purposes of this example, but would be brought into account if the holiday pay accrual is paid within nine months of the year-end date (as corporation tax relief is granted in such situations). </w:t>
      </w:r>
    </w:p>
    <w:p w14:paraId="444C7D86" w14:textId="77777777" w:rsidR="007A52A3" w:rsidRPr="00214121" w:rsidRDefault="007A52A3" w:rsidP="00214121">
      <w:pPr>
        <w:spacing w:line="360" w:lineRule="auto"/>
        <w:rPr>
          <w:rFonts w:ascii="Arial" w:hAnsi="Arial"/>
        </w:rPr>
      </w:pPr>
    </w:p>
    <w:p w14:paraId="457859D7" w14:textId="5368363C" w:rsidR="007A52A3" w:rsidRPr="00214121" w:rsidRDefault="007A52A3" w:rsidP="00214121">
      <w:pPr>
        <w:spacing w:line="360" w:lineRule="auto"/>
        <w:rPr>
          <w:rFonts w:ascii="Arial" w:hAnsi="Arial"/>
          <w:b/>
        </w:rPr>
      </w:pPr>
      <w:r w:rsidRPr="00214121">
        <w:rPr>
          <w:rFonts w:ascii="Arial" w:hAnsi="Arial"/>
          <w:b/>
        </w:rPr>
        <w:t>4.</w:t>
      </w:r>
      <w:r w:rsidR="002B3A26">
        <w:rPr>
          <w:rFonts w:ascii="Arial" w:hAnsi="Arial"/>
          <w:b/>
        </w:rPr>
        <w:t xml:space="preserve"> </w:t>
      </w:r>
      <w:r w:rsidRPr="00214121">
        <w:rPr>
          <w:rFonts w:ascii="Arial" w:hAnsi="Arial"/>
          <w:b/>
        </w:rPr>
        <w:t>Director’s loan account</w:t>
      </w:r>
    </w:p>
    <w:p w14:paraId="351B76FB" w14:textId="77777777" w:rsidR="007A52A3" w:rsidRPr="00214121" w:rsidRDefault="007A52A3" w:rsidP="00214121">
      <w:pPr>
        <w:spacing w:line="360" w:lineRule="auto"/>
        <w:rPr>
          <w:rFonts w:ascii="Arial" w:hAnsi="Arial"/>
        </w:rPr>
      </w:pPr>
      <w:r w:rsidRPr="00214121">
        <w:rPr>
          <w:rFonts w:ascii="Arial" w:hAnsi="Arial"/>
        </w:rPr>
        <w:t xml:space="preserve">The director (who is also the majority shareholder) has made a loan to the business amounting to £65,000. </w:t>
      </w:r>
    </w:p>
    <w:p w14:paraId="79B047E8" w14:textId="77777777" w:rsidR="007A52A3" w:rsidRPr="00214121" w:rsidRDefault="007A52A3" w:rsidP="00214121">
      <w:pPr>
        <w:spacing w:line="360" w:lineRule="auto"/>
        <w:rPr>
          <w:rFonts w:ascii="Arial" w:hAnsi="Arial"/>
        </w:rPr>
      </w:pPr>
    </w:p>
    <w:p w14:paraId="3B6459CB" w14:textId="32C583CB" w:rsidR="007A52A3" w:rsidRPr="00214121" w:rsidRDefault="007A52A3" w:rsidP="00214121">
      <w:pPr>
        <w:spacing w:line="360" w:lineRule="auto"/>
        <w:rPr>
          <w:rFonts w:ascii="Arial" w:hAnsi="Arial"/>
        </w:rPr>
      </w:pPr>
      <w:r w:rsidRPr="00214121">
        <w:rPr>
          <w:rFonts w:ascii="Arial" w:hAnsi="Arial"/>
        </w:rPr>
        <w:t>The loan has no formal terms attached to it but has been regarded as a long-term liability in previous accounting periods.</w:t>
      </w:r>
      <w:r>
        <w:rPr>
          <w:rFonts w:ascii="Arial" w:hAnsi="Arial"/>
        </w:rPr>
        <w:t xml:space="preserve"> </w:t>
      </w:r>
      <w:r w:rsidRPr="00214121">
        <w:rPr>
          <w:rFonts w:ascii="Arial" w:hAnsi="Arial"/>
        </w:rPr>
        <w:t>In the absence of any specific terms, this treatment is not possible under FRS 102 because loans without specific terms attached would be regarded as being repayable on demand (in much the same way as the loan discussed in Note 2 above).</w:t>
      </w:r>
      <w:r>
        <w:rPr>
          <w:rFonts w:ascii="Arial" w:hAnsi="Arial"/>
        </w:rPr>
        <w:t xml:space="preserve"> </w:t>
      </w:r>
      <w:r w:rsidRPr="00214121">
        <w:rPr>
          <w:rFonts w:ascii="Arial" w:hAnsi="Arial"/>
        </w:rPr>
        <w:t>A transitional adjustment is needed to reflect the on demand feature of the loan as follows:</w:t>
      </w:r>
    </w:p>
    <w:p w14:paraId="13D5A12F" w14:textId="11541A99" w:rsidR="007A52A3" w:rsidRPr="00214121" w:rsidRDefault="007A52A3" w:rsidP="00214121">
      <w:pPr>
        <w:spacing w:line="360" w:lineRule="auto"/>
        <w:rPr>
          <w:rFonts w:ascii="Arial" w:hAnsi="Arial"/>
        </w:rPr>
      </w:pPr>
      <w:r w:rsidRPr="00214121">
        <w:rPr>
          <w:rFonts w:ascii="Arial" w:hAnsi="Arial"/>
        </w:rPr>
        <w:tab/>
      </w:r>
      <w:r w:rsidRPr="00214121">
        <w:rPr>
          <w:rFonts w:ascii="Arial" w:hAnsi="Arial"/>
        </w:rPr>
        <w:tab/>
      </w:r>
      <w:r>
        <w:rPr>
          <w:rFonts w:ascii="Arial" w:hAnsi="Arial"/>
        </w:rPr>
        <w:t xml:space="preserve">                </w:t>
      </w:r>
      <w:r w:rsidRPr="00214121">
        <w:rPr>
          <w:rFonts w:ascii="Arial" w:hAnsi="Arial"/>
        </w:rPr>
        <w:t xml:space="preserve"> </w:t>
      </w:r>
      <w:r w:rsidRPr="00214121">
        <w:rPr>
          <w:rFonts w:ascii="Arial" w:hAnsi="Arial"/>
        </w:rPr>
        <w:tab/>
      </w:r>
      <w:r w:rsidRPr="00214121">
        <w:rPr>
          <w:rFonts w:ascii="Arial" w:hAnsi="Arial"/>
        </w:rPr>
        <w:tab/>
      </w:r>
      <w:r>
        <w:rPr>
          <w:rFonts w:ascii="Arial" w:hAnsi="Arial"/>
        </w:rPr>
        <w:t xml:space="preserve">  </w:t>
      </w:r>
      <w:r w:rsidRPr="00214121">
        <w:rPr>
          <w:rFonts w:ascii="Arial" w:hAnsi="Arial"/>
        </w:rPr>
        <w:tab/>
      </w:r>
      <w:r>
        <w:rPr>
          <w:rFonts w:ascii="Arial" w:hAnsi="Arial"/>
        </w:rPr>
        <w:t xml:space="preserve">  </w:t>
      </w:r>
      <w:r w:rsidRPr="00214121">
        <w:rPr>
          <w:rFonts w:ascii="Arial" w:hAnsi="Arial"/>
        </w:rPr>
        <w:t xml:space="preserve"> </w:t>
      </w:r>
      <w:r w:rsidR="00D100AF">
        <w:rPr>
          <w:rFonts w:ascii="Arial" w:hAnsi="Arial"/>
        </w:rPr>
        <w:tab/>
      </w:r>
      <w:r w:rsidR="00D100AF">
        <w:rPr>
          <w:rFonts w:ascii="Arial" w:hAnsi="Arial"/>
        </w:rPr>
        <w:tab/>
      </w:r>
      <w:r w:rsidR="00D100AF">
        <w:rPr>
          <w:rFonts w:ascii="Arial" w:hAnsi="Arial"/>
        </w:rPr>
        <w:tab/>
      </w:r>
      <w:r w:rsidR="00D100AF">
        <w:rPr>
          <w:rFonts w:ascii="Arial" w:hAnsi="Arial"/>
        </w:rPr>
        <w:tab/>
      </w:r>
      <w:r w:rsidRPr="00214121">
        <w:rPr>
          <w:rFonts w:ascii="Arial" w:hAnsi="Arial"/>
        </w:rPr>
        <w:t>£</w:t>
      </w:r>
    </w:p>
    <w:p w14:paraId="059532CA" w14:textId="687FFE85" w:rsidR="007A52A3" w:rsidRPr="00214121" w:rsidRDefault="007A52A3" w:rsidP="00214121">
      <w:pPr>
        <w:spacing w:line="360" w:lineRule="auto"/>
        <w:rPr>
          <w:rFonts w:ascii="Arial" w:hAnsi="Arial"/>
        </w:rPr>
      </w:pPr>
      <w:r w:rsidRPr="00214121">
        <w:rPr>
          <w:rFonts w:ascii="Arial" w:hAnsi="Arial"/>
        </w:rPr>
        <w:t>Dr long-term liabilities</w:t>
      </w:r>
      <w:r w:rsidRPr="00214121">
        <w:rPr>
          <w:rFonts w:ascii="Arial" w:hAnsi="Arial"/>
        </w:rPr>
        <w:tab/>
      </w:r>
      <w:r w:rsidRPr="00214121">
        <w:rPr>
          <w:rFonts w:ascii="Arial" w:hAnsi="Arial"/>
        </w:rPr>
        <w:tab/>
      </w:r>
      <w:r w:rsidRPr="00214121">
        <w:rPr>
          <w:rFonts w:ascii="Arial" w:hAnsi="Arial"/>
        </w:rPr>
        <w:tab/>
      </w:r>
      <w:r w:rsidRPr="00214121">
        <w:rPr>
          <w:rFonts w:ascii="Arial" w:hAnsi="Arial"/>
        </w:rPr>
        <w:tab/>
      </w:r>
      <w:r w:rsidR="00D100AF">
        <w:rPr>
          <w:rFonts w:ascii="Arial" w:hAnsi="Arial"/>
        </w:rPr>
        <w:tab/>
      </w:r>
      <w:r w:rsidRPr="00214121">
        <w:rPr>
          <w:rFonts w:ascii="Arial" w:hAnsi="Arial"/>
        </w:rPr>
        <w:t>65,000</w:t>
      </w:r>
    </w:p>
    <w:p w14:paraId="2DFC0260" w14:textId="21670BC1" w:rsidR="007A52A3" w:rsidRPr="00214121" w:rsidRDefault="007A52A3" w:rsidP="00214121">
      <w:pPr>
        <w:spacing w:line="360" w:lineRule="auto"/>
        <w:rPr>
          <w:rFonts w:ascii="Arial" w:hAnsi="Arial"/>
        </w:rPr>
      </w:pPr>
      <w:r w:rsidRPr="00214121">
        <w:rPr>
          <w:rFonts w:ascii="Arial" w:hAnsi="Arial"/>
        </w:rPr>
        <w:t>Cr director’s current account (current liabilities)</w:t>
      </w:r>
      <w:r w:rsidRPr="00214121">
        <w:rPr>
          <w:rFonts w:ascii="Arial" w:hAnsi="Arial"/>
        </w:rPr>
        <w:tab/>
        <w:t>65,000</w:t>
      </w:r>
    </w:p>
    <w:p w14:paraId="37F3E5A2" w14:textId="478C32A7" w:rsidR="007A52A3" w:rsidRPr="00214121" w:rsidRDefault="00D100AF" w:rsidP="00214121">
      <w:pPr>
        <w:spacing w:line="360" w:lineRule="auto"/>
        <w:rPr>
          <w:rFonts w:ascii="Arial" w:hAnsi="Arial"/>
          <w:i/>
        </w:rPr>
      </w:pPr>
      <w:r>
        <w:rPr>
          <w:rFonts w:ascii="Arial" w:hAnsi="Arial"/>
          <w:i/>
        </w:rPr>
        <w:t>b</w:t>
      </w:r>
      <w:r w:rsidR="007A52A3" w:rsidRPr="00214121">
        <w:rPr>
          <w:rFonts w:ascii="Arial" w:hAnsi="Arial"/>
          <w:i/>
        </w:rPr>
        <w:t>eing reallocation of director’s current account</w:t>
      </w:r>
    </w:p>
    <w:p w14:paraId="22BD39A4" w14:textId="77777777" w:rsidR="007A52A3" w:rsidRPr="00214121" w:rsidRDefault="007A52A3" w:rsidP="00214121">
      <w:pPr>
        <w:spacing w:line="360" w:lineRule="auto"/>
        <w:rPr>
          <w:rFonts w:ascii="Arial" w:hAnsi="Arial"/>
          <w:i/>
        </w:rPr>
      </w:pPr>
    </w:p>
    <w:p w14:paraId="50590E7C" w14:textId="77777777" w:rsidR="007A52A3" w:rsidRPr="00214121" w:rsidRDefault="007A52A3" w:rsidP="00214121">
      <w:pPr>
        <w:spacing w:line="360" w:lineRule="auto"/>
        <w:rPr>
          <w:rFonts w:ascii="Arial" w:hAnsi="Arial"/>
        </w:rPr>
      </w:pPr>
      <w:r w:rsidRPr="00214121">
        <w:rPr>
          <w:rFonts w:ascii="Arial" w:hAnsi="Arial"/>
        </w:rPr>
        <w:t>Following the incorporation of the above transitional adjustments, Smallco’s opening trial balance at the date of transition will look as follows:</w:t>
      </w:r>
    </w:p>
    <w:p w14:paraId="038D96F3" w14:textId="7C4791DF" w:rsidR="00547CF0" w:rsidRDefault="00547CF0">
      <w:pPr>
        <w:rPr>
          <w:rFonts w:ascii="Arial" w:hAnsi="Arial"/>
        </w:rPr>
      </w:pPr>
      <w:r>
        <w:rPr>
          <w:rFonts w:ascii="Arial" w:hAnsi="Arial"/>
        </w:rPr>
        <w:br w:type="page"/>
      </w:r>
    </w:p>
    <w:p w14:paraId="60B4088D" w14:textId="77777777" w:rsidR="007A52A3" w:rsidRPr="00214121" w:rsidRDefault="007A52A3" w:rsidP="00214121">
      <w:pPr>
        <w:spacing w:line="360" w:lineRule="auto"/>
        <w:rPr>
          <w:rFonts w:ascii="Arial" w:hAnsi="Arial"/>
        </w:rPr>
      </w:pPr>
    </w:p>
    <w:tbl>
      <w:tblPr>
        <w:tblW w:w="5000" w:type="pct"/>
        <w:tblLook w:val="04A0" w:firstRow="1" w:lastRow="0" w:firstColumn="1" w:lastColumn="0" w:noHBand="0" w:noVBand="1"/>
      </w:tblPr>
      <w:tblGrid>
        <w:gridCol w:w="1820"/>
        <w:gridCol w:w="1675"/>
        <w:gridCol w:w="1376"/>
        <w:gridCol w:w="1168"/>
        <w:gridCol w:w="1272"/>
        <w:gridCol w:w="1272"/>
        <w:gridCol w:w="1272"/>
      </w:tblGrid>
      <w:tr w:rsidR="007A52A3" w:rsidRPr="00214121" w14:paraId="382B0BD5" w14:textId="77777777" w:rsidTr="00B9592E">
        <w:trPr>
          <w:trHeight w:val="324"/>
        </w:trPr>
        <w:tc>
          <w:tcPr>
            <w:tcW w:w="714" w:type="pct"/>
            <w:tcBorders>
              <w:top w:val="nil"/>
              <w:left w:val="nil"/>
              <w:bottom w:val="nil"/>
              <w:right w:val="nil"/>
            </w:tcBorders>
            <w:shd w:val="clear" w:color="auto" w:fill="auto"/>
            <w:noWrap/>
            <w:vAlign w:val="bottom"/>
            <w:hideMark/>
          </w:tcPr>
          <w:p w14:paraId="69E48AF8" w14:textId="77777777" w:rsidR="007A52A3" w:rsidRPr="00214121" w:rsidRDefault="007A52A3" w:rsidP="00214121">
            <w:pPr>
              <w:rPr>
                <w:rFonts w:ascii="Arial" w:hAnsi="Arial"/>
                <w:b/>
                <w:bCs/>
                <w:color w:val="000000"/>
                <w:sz w:val="22"/>
                <w:szCs w:val="22"/>
                <w:lang w:val="en-US"/>
              </w:rPr>
            </w:pPr>
            <w:r w:rsidRPr="00214121">
              <w:rPr>
                <w:rFonts w:ascii="Arial" w:hAnsi="Arial"/>
                <w:b/>
                <w:bCs/>
                <w:color w:val="000000"/>
                <w:sz w:val="22"/>
                <w:szCs w:val="22"/>
                <w:lang w:val="en-US"/>
              </w:rPr>
              <w:t>Smallco Ltd</w:t>
            </w:r>
          </w:p>
        </w:tc>
        <w:tc>
          <w:tcPr>
            <w:tcW w:w="714" w:type="pct"/>
            <w:tcBorders>
              <w:top w:val="nil"/>
              <w:left w:val="nil"/>
              <w:bottom w:val="nil"/>
              <w:right w:val="nil"/>
            </w:tcBorders>
            <w:shd w:val="clear" w:color="auto" w:fill="auto"/>
            <w:noWrap/>
            <w:vAlign w:val="bottom"/>
            <w:hideMark/>
          </w:tcPr>
          <w:p w14:paraId="7FB429C0" w14:textId="77777777" w:rsidR="007A52A3" w:rsidRPr="00214121" w:rsidRDefault="007A52A3" w:rsidP="00214121">
            <w:pPr>
              <w:rPr>
                <w:rFonts w:ascii="Arial" w:hAnsi="Arial"/>
                <w:b/>
                <w:bCs/>
                <w:color w:val="000000"/>
                <w:sz w:val="22"/>
                <w:szCs w:val="22"/>
                <w:lang w:val="en-US"/>
              </w:rPr>
            </w:pPr>
          </w:p>
        </w:tc>
        <w:tc>
          <w:tcPr>
            <w:tcW w:w="714" w:type="pct"/>
            <w:tcBorders>
              <w:top w:val="nil"/>
              <w:left w:val="nil"/>
              <w:bottom w:val="nil"/>
              <w:right w:val="nil"/>
            </w:tcBorders>
            <w:shd w:val="clear" w:color="auto" w:fill="auto"/>
            <w:noWrap/>
            <w:vAlign w:val="bottom"/>
            <w:hideMark/>
          </w:tcPr>
          <w:p w14:paraId="3DB2ACE7"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0A9FE107"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32888B7B"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3B5BC187"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4A1C3BB3" w14:textId="77777777" w:rsidR="007A52A3" w:rsidRPr="00214121" w:rsidRDefault="007A52A3" w:rsidP="00214121">
            <w:pPr>
              <w:jc w:val="right"/>
              <w:rPr>
                <w:rFonts w:ascii="Arial" w:hAnsi="Arial"/>
                <w:sz w:val="22"/>
                <w:szCs w:val="22"/>
                <w:lang w:val="en-US"/>
              </w:rPr>
            </w:pPr>
          </w:p>
        </w:tc>
      </w:tr>
      <w:tr w:rsidR="007A52A3" w:rsidRPr="00214121" w14:paraId="00F86B14" w14:textId="77777777" w:rsidTr="00B9592E">
        <w:trPr>
          <w:trHeight w:val="300"/>
        </w:trPr>
        <w:tc>
          <w:tcPr>
            <w:tcW w:w="1429" w:type="pct"/>
            <w:gridSpan w:val="2"/>
            <w:tcBorders>
              <w:top w:val="nil"/>
              <w:left w:val="nil"/>
              <w:bottom w:val="nil"/>
              <w:right w:val="nil"/>
            </w:tcBorders>
            <w:shd w:val="clear" w:color="auto" w:fill="auto"/>
            <w:noWrap/>
            <w:vAlign w:val="bottom"/>
            <w:hideMark/>
          </w:tcPr>
          <w:p w14:paraId="6671C0FE" w14:textId="77777777" w:rsidR="007A52A3" w:rsidRPr="00214121" w:rsidRDefault="007A52A3" w:rsidP="00214121">
            <w:pPr>
              <w:rPr>
                <w:rFonts w:ascii="Arial" w:hAnsi="Arial"/>
                <w:b/>
                <w:bCs/>
                <w:color w:val="000000"/>
                <w:sz w:val="22"/>
                <w:szCs w:val="22"/>
                <w:lang w:val="en-US"/>
              </w:rPr>
            </w:pPr>
            <w:r w:rsidRPr="00214121">
              <w:rPr>
                <w:rFonts w:ascii="Arial" w:hAnsi="Arial"/>
                <w:b/>
                <w:bCs/>
                <w:color w:val="000000"/>
                <w:sz w:val="22"/>
                <w:szCs w:val="22"/>
                <w:lang w:val="en-US"/>
              </w:rPr>
              <w:t xml:space="preserve">Trial balance as at 1 May 2015 </w:t>
            </w:r>
          </w:p>
        </w:tc>
        <w:tc>
          <w:tcPr>
            <w:tcW w:w="714" w:type="pct"/>
            <w:tcBorders>
              <w:top w:val="nil"/>
              <w:left w:val="nil"/>
              <w:bottom w:val="nil"/>
              <w:right w:val="nil"/>
            </w:tcBorders>
            <w:shd w:val="clear" w:color="auto" w:fill="auto"/>
            <w:noWrap/>
            <w:vAlign w:val="bottom"/>
            <w:hideMark/>
          </w:tcPr>
          <w:p w14:paraId="3505CF94" w14:textId="77777777" w:rsidR="007A52A3" w:rsidRPr="00214121" w:rsidRDefault="007A52A3" w:rsidP="00214121">
            <w:pPr>
              <w:rPr>
                <w:rFonts w:ascii="Arial" w:hAnsi="Arial"/>
                <w:b/>
                <w:bCs/>
                <w:color w:val="000000"/>
                <w:sz w:val="22"/>
                <w:szCs w:val="22"/>
                <w:lang w:val="en-US"/>
              </w:rPr>
            </w:pPr>
          </w:p>
        </w:tc>
        <w:tc>
          <w:tcPr>
            <w:tcW w:w="714" w:type="pct"/>
            <w:tcBorders>
              <w:top w:val="nil"/>
              <w:left w:val="nil"/>
              <w:bottom w:val="nil"/>
              <w:right w:val="nil"/>
            </w:tcBorders>
            <w:shd w:val="clear" w:color="auto" w:fill="auto"/>
            <w:noWrap/>
            <w:vAlign w:val="bottom"/>
            <w:hideMark/>
          </w:tcPr>
          <w:p w14:paraId="3AF92B8B"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040857FB"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4F23DB8D"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2DAA7FDF" w14:textId="77777777" w:rsidR="007A52A3" w:rsidRPr="00214121" w:rsidRDefault="007A52A3" w:rsidP="00214121">
            <w:pPr>
              <w:jc w:val="right"/>
              <w:rPr>
                <w:rFonts w:ascii="Arial" w:hAnsi="Arial"/>
                <w:sz w:val="22"/>
                <w:szCs w:val="22"/>
                <w:lang w:val="en-US"/>
              </w:rPr>
            </w:pPr>
          </w:p>
        </w:tc>
      </w:tr>
      <w:tr w:rsidR="007A52A3" w:rsidRPr="00214121" w14:paraId="7F669A84" w14:textId="77777777" w:rsidTr="00214121">
        <w:trPr>
          <w:trHeight w:val="300"/>
        </w:trPr>
        <w:tc>
          <w:tcPr>
            <w:tcW w:w="714" w:type="pct"/>
            <w:tcBorders>
              <w:top w:val="nil"/>
              <w:left w:val="nil"/>
              <w:bottom w:val="nil"/>
              <w:right w:val="nil"/>
            </w:tcBorders>
            <w:shd w:val="clear" w:color="auto" w:fill="auto"/>
            <w:noWrap/>
            <w:vAlign w:val="bottom"/>
            <w:hideMark/>
          </w:tcPr>
          <w:p w14:paraId="5530824E" w14:textId="77777777" w:rsidR="007A52A3" w:rsidRPr="00214121" w:rsidRDefault="007A52A3" w:rsidP="00214121">
            <w:pPr>
              <w:jc w:val="right"/>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4103D256"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4AA9170A"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53E5C6C1" w14:textId="77777777" w:rsidR="007A52A3" w:rsidRPr="00214121" w:rsidRDefault="007A52A3" w:rsidP="00214121">
            <w:pPr>
              <w:rPr>
                <w:rFonts w:ascii="Arial" w:hAnsi="Arial"/>
                <w:sz w:val="22"/>
                <w:szCs w:val="22"/>
                <w:lang w:val="en-US"/>
              </w:rPr>
            </w:pPr>
          </w:p>
        </w:tc>
        <w:tc>
          <w:tcPr>
            <w:tcW w:w="714" w:type="pct"/>
            <w:tcBorders>
              <w:top w:val="nil"/>
              <w:left w:val="nil"/>
              <w:right w:val="nil"/>
            </w:tcBorders>
            <w:shd w:val="clear" w:color="auto" w:fill="auto"/>
            <w:noWrap/>
            <w:vAlign w:val="bottom"/>
            <w:hideMark/>
          </w:tcPr>
          <w:p w14:paraId="3106B813" w14:textId="77777777" w:rsidR="007A52A3" w:rsidRPr="00214121" w:rsidRDefault="007A52A3" w:rsidP="00214121">
            <w:pPr>
              <w:rPr>
                <w:rFonts w:ascii="Arial" w:hAnsi="Arial"/>
                <w:sz w:val="22"/>
                <w:szCs w:val="22"/>
                <w:lang w:val="en-US"/>
              </w:rPr>
            </w:pPr>
          </w:p>
        </w:tc>
        <w:tc>
          <w:tcPr>
            <w:tcW w:w="714" w:type="pct"/>
            <w:tcBorders>
              <w:top w:val="nil"/>
              <w:left w:val="nil"/>
              <w:right w:val="nil"/>
            </w:tcBorders>
            <w:shd w:val="clear" w:color="auto" w:fill="auto"/>
            <w:noWrap/>
            <w:vAlign w:val="bottom"/>
            <w:hideMark/>
          </w:tcPr>
          <w:p w14:paraId="69D08233"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Dr</w:t>
            </w:r>
          </w:p>
        </w:tc>
        <w:tc>
          <w:tcPr>
            <w:tcW w:w="714" w:type="pct"/>
            <w:tcBorders>
              <w:top w:val="nil"/>
              <w:left w:val="nil"/>
              <w:right w:val="nil"/>
            </w:tcBorders>
            <w:shd w:val="clear" w:color="auto" w:fill="auto"/>
            <w:noWrap/>
            <w:vAlign w:val="bottom"/>
            <w:hideMark/>
          </w:tcPr>
          <w:p w14:paraId="7F1FBB6F"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Cr</w:t>
            </w:r>
          </w:p>
        </w:tc>
      </w:tr>
      <w:tr w:rsidR="007A52A3" w:rsidRPr="00214121" w14:paraId="483705E2" w14:textId="77777777" w:rsidTr="00214121">
        <w:trPr>
          <w:trHeight w:val="333"/>
        </w:trPr>
        <w:tc>
          <w:tcPr>
            <w:tcW w:w="714" w:type="pct"/>
            <w:tcBorders>
              <w:top w:val="nil"/>
              <w:left w:val="nil"/>
              <w:bottom w:val="nil"/>
              <w:right w:val="nil"/>
            </w:tcBorders>
            <w:shd w:val="clear" w:color="auto" w:fill="auto"/>
            <w:noWrap/>
            <w:vAlign w:val="bottom"/>
            <w:hideMark/>
          </w:tcPr>
          <w:p w14:paraId="1E42AA46" w14:textId="77777777" w:rsidR="007A52A3" w:rsidRPr="00214121" w:rsidRDefault="007A52A3" w:rsidP="00214121">
            <w:pPr>
              <w:jc w:val="right"/>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7E8AFDB1"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35336D55"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10F61D70" w14:textId="77777777" w:rsidR="007A52A3" w:rsidRPr="00214121" w:rsidRDefault="007A52A3" w:rsidP="00214121">
            <w:pPr>
              <w:rPr>
                <w:rFonts w:ascii="Arial" w:hAnsi="Arial"/>
                <w:sz w:val="22"/>
                <w:szCs w:val="22"/>
                <w:lang w:val="en-US"/>
              </w:rPr>
            </w:pPr>
          </w:p>
        </w:tc>
        <w:tc>
          <w:tcPr>
            <w:tcW w:w="714" w:type="pct"/>
            <w:tcBorders>
              <w:left w:val="nil"/>
            </w:tcBorders>
            <w:shd w:val="clear" w:color="auto" w:fill="auto"/>
            <w:noWrap/>
            <w:vAlign w:val="bottom"/>
            <w:hideMark/>
          </w:tcPr>
          <w:p w14:paraId="4CD41712" w14:textId="77777777" w:rsidR="007A52A3" w:rsidRPr="00214121" w:rsidRDefault="007A52A3" w:rsidP="00214121">
            <w:pPr>
              <w:rPr>
                <w:rFonts w:ascii="Arial" w:hAnsi="Arial"/>
                <w:sz w:val="22"/>
                <w:szCs w:val="22"/>
                <w:lang w:val="en-US"/>
              </w:rPr>
            </w:pPr>
          </w:p>
        </w:tc>
        <w:tc>
          <w:tcPr>
            <w:tcW w:w="714" w:type="pct"/>
            <w:shd w:val="clear" w:color="auto" w:fill="auto"/>
            <w:noWrap/>
            <w:vAlign w:val="bottom"/>
            <w:hideMark/>
          </w:tcPr>
          <w:p w14:paraId="7F85EF04" w14:textId="77777777" w:rsidR="007A52A3" w:rsidRPr="00214121" w:rsidRDefault="007A52A3" w:rsidP="00214121">
            <w:pPr>
              <w:jc w:val="right"/>
              <w:rPr>
                <w:rFonts w:ascii="Arial" w:hAnsi="Arial"/>
                <w:sz w:val="22"/>
                <w:szCs w:val="22"/>
                <w:lang w:val="en-US"/>
              </w:rPr>
            </w:pPr>
            <w:r w:rsidRPr="00214121">
              <w:rPr>
                <w:rFonts w:ascii="Arial" w:hAnsi="Arial"/>
                <w:sz w:val="22"/>
                <w:szCs w:val="22"/>
                <w:lang w:val="en-US"/>
              </w:rPr>
              <w:t>£</w:t>
            </w:r>
          </w:p>
        </w:tc>
        <w:tc>
          <w:tcPr>
            <w:tcW w:w="714" w:type="pct"/>
            <w:shd w:val="clear" w:color="auto" w:fill="auto"/>
            <w:noWrap/>
            <w:vAlign w:val="bottom"/>
            <w:hideMark/>
          </w:tcPr>
          <w:p w14:paraId="502F78B8" w14:textId="77777777" w:rsidR="007A52A3" w:rsidRPr="00214121" w:rsidRDefault="007A52A3" w:rsidP="00214121">
            <w:pPr>
              <w:jc w:val="right"/>
              <w:rPr>
                <w:rFonts w:ascii="Arial" w:hAnsi="Arial"/>
                <w:sz w:val="22"/>
                <w:szCs w:val="22"/>
                <w:lang w:val="en-US"/>
              </w:rPr>
            </w:pPr>
            <w:r w:rsidRPr="00214121">
              <w:rPr>
                <w:rFonts w:ascii="Arial" w:hAnsi="Arial"/>
                <w:sz w:val="22"/>
                <w:szCs w:val="22"/>
                <w:lang w:val="en-US"/>
              </w:rPr>
              <w:t>£</w:t>
            </w:r>
          </w:p>
        </w:tc>
      </w:tr>
      <w:tr w:rsidR="007A52A3" w:rsidRPr="00214121" w14:paraId="367A27BF" w14:textId="77777777" w:rsidTr="00214121">
        <w:trPr>
          <w:trHeight w:val="300"/>
        </w:trPr>
        <w:tc>
          <w:tcPr>
            <w:tcW w:w="1429" w:type="pct"/>
            <w:gridSpan w:val="2"/>
            <w:tcBorders>
              <w:top w:val="nil"/>
              <w:left w:val="nil"/>
              <w:bottom w:val="nil"/>
              <w:right w:val="nil"/>
            </w:tcBorders>
            <w:shd w:val="clear" w:color="auto" w:fill="auto"/>
            <w:noWrap/>
            <w:vAlign w:val="bottom"/>
            <w:hideMark/>
          </w:tcPr>
          <w:p w14:paraId="01E97D2E"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Plant and machinery </w:t>
            </w:r>
          </w:p>
        </w:tc>
        <w:tc>
          <w:tcPr>
            <w:tcW w:w="714" w:type="pct"/>
            <w:tcBorders>
              <w:top w:val="nil"/>
              <w:left w:val="nil"/>
              <w:bottom w:val="nil"/>
              <w:right w:val="nil"/>
            </w:tcBorders>
            <w:shd w:val="clear" w:color="auto" w:fill="auto"/>
            <w:noWrap/>
            <w:vAlign w:val="bottom"/>
            <w:hideMark/>
          </w:tcPr>
          <w:p w14:paraId="75740B86"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7FEB0E43" w14:textId="77777777" w:rsidR="007A52A3" w:rsidRPr="00214121" w:rsidRDefault="007A52A3" w:rsidP="00214121">
            <w:pPr>
              <w:rPr>
                <w:rFonts w:ascii="Arial" w:hAnsi="Arial"/>
                <w:sz w:val="22"/>
                <w:szCs w:val="22"/>
                <w:lang w:val="en-US"/>
              </w:rPr>
            </w:pPr>
          </w:p>
        </w:tc>
        <w:tc>
          <w:tcPr>
            <w:tcW w:w="714" w:type="pct"/>
            <w:tcBorders>
              <w:left w:val="nil"/>
              <w:bottom w:val="nil"/>
              <w:right w:val="nil"/>
            </w:tcBorders>
            <w:shd w:val="clear" w:color="auto" w:fill="auto"/>
            <w:noWrap/>
            <w:vAlign w:val="bottom"/>
            <w:hideMark/>
          </w:tcPr>
          <w:p w14:paraId="778F178C" w14:textId="77777777" w:rsidR="007A52A3" w:rsidRPr="00214121" w:rsidRDefault="007A52A3" w:rsidP="00214121">
            <w:pPr>
              <w:rPr>
                <w:rFonts w:ascii="Arial" w:hAnsi="Arial"/>
                <w:sz w:val="22"/>
                <w:szCs w:val="22"/>
                <w:lang w:val="en-US"/>
              </w:rPr>
            </w:pPr>
          </w:p>
        </w:tc>
        <w:tc>
          <w:tcPr>
            <w:tcW w:w="714" w:type="pct"/>
            <w:tcBorders>
              <w:left w:val="nil"/>
              <w:bottom w:val="nil"/>
              <w:right w:val="nil"/>
            </w:tcBorders>
            <w:shd w:val="clear" w:color="auto" w:fill="auto"/>
            <w:noWrap/>
            <w:vAlign w:val="bottom"/>
            <w:hideMark/>
          </w:tcPr>
          <w:p w14:paraId="478755C3"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104,801</w:t>
            </w:r>
          </w:p>
        </w:tc>
        <w:tc>
          <w:tcPr>
            <w:tcW w:w="714" w:type="pct"/>
            <w:tcBorders>
              <w:left w:val="nil"/>
              <w:bottom w:val="nil"/>
              <w:right w:val="nil"/>
            </w:tcBorders>
            <w:shd w:val="clear" w:color="auto" w:fill="auto"/>
            <w:noWrap/>
            <w:vAlign w:val="bottom"/>
            <w:hideMark/>
          </w:tcPr>
          <w:p w14:paraId="2DF1F614" w14:textId="77777777" w:rsidR="007A52A3" w:rsidRPr="00214121" w:rsidRDefault="007A52A3" w:rsidP="00214121">
            <w:pPr>
              <w:jc w:val="right"/>
              <w:rPr>
                <w:rFonts w:ascii="Arial" w:hAnsi="Arial"/>
                <w:color w:val="000000"/>
                <w:sz w:val="22"/>
                <w:szCs w:val="22"/>
                <w:lang w:val="en-US"/>
              </w:rPr>
            </w:pPr>
          </w:p>
        </w:tc>
      </w:tr>
      <w:tr w:rsidR="007A52A3" w:rsidRPr="00214121" w14:paraId="2A7A420A" w14:textId="77777777" w:rsidTr="00B9592E">
        <w:trPr>
          <w:trHeight w:val="300"/>
        </w:trPr>
        <w:tc>
          <w:tcPr>
            <w:tcW w:w="1429" w:type="pct"/>
            <w:gridSpan w:val="2"/>
            <w:tcBorders>
              <w:top w:val="nil"/>
              <w:left w:val="nil"/>
              <w:bottom w:val="nil"/>
              <w:right w:val="nil"/>
            </w:tcBorders>
            <w:shd w:val="clear" w:color="auto" w:fill="auto"/>
            <w:noWrap/>
            <w:vAlign w:val="bottom"/>
            <w:hideMark/>
          </w:tcPr>
          <w:p w14:paraId="075392FF"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Plant and machinery depreciation </w:t>
            </w:r>
          </w:p>
        </w:tc>
        <w:tc>
          <w:tcPr>
            <w:tcW w:w="714" w:type="pct"/>
            <w:tcBorders>
              <w:top w:val="nil"/>
              <w:left w:val="nil"/>
              <w:bottom w:val="nil"/>
              <w:right w:val="nil"/>
            </w:tcBorders>
            <w:shd w:val="clear" w:color="auto" w:fill="auto"/>
            <w:noWrap/>
            <w:vAlign w:val="bottom"/>
            <w:hideMark/>
          </w:tcPr>
          <w:p w14:paraId="2C3AF47D"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6CC22D8F"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05AB218"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626F3954"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5FF73A09"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34,926</w:t>
            </w:r>
          </w:p>
        </w:tc>
      </w:tr>
      <w:tr w:rsidR="007A52A3" w:rsidRPr="00214121" w14:paraId="72559EC9" w14:textId="77777777" w:rsidTr="00B9592E">
        <w:trPr>
          <w:trHeight w:val="300"/>
        </w:trPr>
        <w:tc>
          <w:tcPr>
            <w:tcW w:w="1429" w:type="pct"/>
            <w:gridSpan w:val="2"/>
            <w:tcBorders>
              <w:top w:val="nil"/>
              <w:left w:val="nil"/>
              <w:bottom w:val="nil"/>
              <w:right w:val="nil"/>
            </w:tcBorders>
            <w:shd w:val="clear" w:color="auto" w:fill="auto"/>
            <w:noWrap/>
            <w:vAlign w:val="bottom"/>
            <w:hideMark/>
          </w:tcPr>
          <w:p w14:paraId="2F443A26"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Fixtures and fittings </w:t>
            </w:r>
          </w:p>
        </w:tc>
        <w:tc>
          <w:tcPr>
            <w:tcW w:w="714" w:type="pct"/>
            <w:tcBorders>
              <w:top w:val="nil"/>
              <w:left w:val="nil"/>
              <w:bottom w:val="nil"/>
              <w:right w:val="nil"/>
            </w:tcBorders>
            <w:shd w:val="clear" w:color="auto" w:fill="auto"/>
            <w:noWrap/>
            <w:vAlign w:val="bottom"/>
            <w:hideMark/>
          </w:tcPr>
          <w:p w14:paraId="67778657"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6F699CD5"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41B2806E"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7F5C8E9"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308,987</w:t>
            </w:r>
          </w:p>
        </w:tc>
        <w:tc>
          <w:tcPr>
            <w:tcW w:w="714" w:type="pct"/>
            <w:tcBorders>
              <w:top w:val="nil"/>
              <w:left w:val="nil"/>
              <w:bottom w:val="nil"/>
              <w:right w:val="nil"/>
            </w:tcBorders>
            <w:shd w:val="clear" w:color="auto" w:fill="auto"/>
            <w:noWrap/>
            <w:vAlign w:val="bottom"/>
            <w:hideMark/>
          </w:tcPr>
          <w:p w14:paraId="2B298164" w14:textId="77777777" w:rsidR="007A52A3" w:rsidRPr="00214121" w:rsidRDefault="007A52A3" w:rsidP="00214121">
            <w:pPr>
              <w:jc w:val="right"/>
              <w:rPr>
                <w:rFonts w:ascii="Arial" w:hAnsi="Arial"/>
                <w:color w:val="000000"/>
                <w:sz w:val="22"/>
                <w:szCs w:val="22"/>
                <w:lang w:val="en-US"/>
              </w:rPr>
            </w:pPr>
          </w:p>
        </w:tc>
      </w:tr>
      <w:tr w:rsidR="007A52A3" w:rsidRPr="00214121" w14:paraId="75E6EFBC" w14:textId="77777777" w:rsidTr="00B9592E">
        <w:trPr>
          <w:trHeight w:val="300"/>
        </w:trPr>
        <w:tc>
          <w:tcPr>
            <w:tcW w:w="1429" w:type="pct"/>
            <w:gridSpan w:val="2"/>
            <w:tcBorders>
              <w:top w:val="nil"/>
              <w:left w:val="nil"/>
              <w:bottom w:val="nil"/>
              <w:right w:val="nil"/>
            </w:tcBorders>
            <w:shd w:val="clear" w:color="auto" w:fill="auto"/>
            <w:noWrap/>
            <w:vAlign w:val="bottom"/>
            <w:hideMark/>
          </w:tcPr>
          <w:p w14:paraId="59B96D78"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Fixtures and fittings depreciation </w:t>
            </w:r>
          </w:p>
        </w:tc>
        <w:tc>
          <w:tcPr>
            <w:tcW w:w="714" w:type="pct"/>
            <w:tcBorders>
              <w:top w:val="nil"/>
              <w:left w:val="nil"/>
              <w:bottom w:val="nil"/>
              <w:right w:val="nil"/>
            </w:tcBorders>
            <w:shd w:val="clear" w:color="auto" w:fill="auto"/>
            <w:noWrap/>
            <w:vAlign w:val="bottom"/>
            <w:hideMark/>
          </w:tcPr>
          <w:p w14:paraId="39A97687"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3534DC08"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47E9E138"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271F1AA"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1850FC2C"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158,604</w:t>
            </w:r>
          </w:p>
        </w:tc>
      </w:tr>
      <w:tr w:rsidR="007A52A3" w:rsidRPr="00214121" w14:paraId="7A994563" w14:textId="77777777" w:rsidTr="00B9592E">
        <w:trPr>
          <w:trHeight w:val="300"/>
        </w:trPr>
        <w:tc>
          <w:tcPr>
            <w:tcW w:w="1429" w:type="pct"/>
            <w:gridSpan w:val="2"/>
            <w:tcBorders>
              <w:top w:val="nil"/>
              <w:left w:val="nil"/>
              <w:bottom w:val="nil"/>
              <w:right w:val="nil"/>
            </w:tcBorders>
            <w:shd w:val="clear" w:color="auto" w:fill="auto"/>
            <w:noWrap/>
            <w:vAlign w:val="bottom"/>
            <w:hideMark/>
          </w:tcPr>
          <w:p w14:paraId="3787F1A3"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Investment property </w:t>
            </w:r>
          </w:p>
        </w:tc>
        <w:tc>
          <w:tcPr>
            <w:tcW w:w="714" w:type="pct"/>
            <w:tcBorders>
              <w:top w:val="nil"/>
              <w:left w:val="nil"/>
              <w:bottom w:val="nil"/>
              <w:right w:val="nil"/>
            </w:tcBorders>
            <w:shd w:val="clear" w:color="auto" w:fill="auto"/>
            <w:noWrap/>
            <w:vAlign w:val="bottom"/>
            <w:hideMark/>
          </w:tcPr>
          <w:p w14:paraId="754DDB3E"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46E0E258"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3C581785"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1A8B2315"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206,650</w:t>
            </w:r>
          </w:p>
        </w:tc>
        <w:tc>
          <w:tcPr>
            <w:tcW w:w="714" w:type="pct"/>
            <w:tcBorders>
              <w:top w:val="nil"/>
              <w:left w:val="nil"/>
              <w:bottom w:val="nil"/>
              <w:right w:val="nil"/>
            </w:tcBorders>
            <w:shd w:val="clear" w:color="auto" w:fill="auto"/>
            <w:noWrap/>
            <w:vAlign w:val="bottom"/>
            <w:hideMark/>
          </w:tcPr>
          <w:p w14:paraId="66CDA755" w14:textId="77777777" w:rsidR="007A52A3" w:rsidRPr="00214121" w:rsidRDefault="007A52A3" w:rsidP="00214121">
            <w:pPr>
              <w:jc w:val="right"/>
              <w:rPr>
                <w:rFonts w:ascii="Arial" w:hAnsi="Arial"/>
                <w:color w:val="000000"/>
                <w:sz w:val="22"/>
                <w:szCs w:val="22"/>
                <w:lang w:val="en-US"/>
              </w:rPr>
            </w:pPr>
          </w:p>
        </w:tc>
      </w:tr>
      <w:tr w:rsidR="007A52A3" w:rsidRPr="00214121" w14:paraId="2AF6C421" w14:textId="77777777" w:rsidTr="00B9592E">
        <w:trPr>
          <w:trHeight w:val="300"/>
        </w:trPr>
        <w:tc>
          <w:tcPr>
            <w:tcW w:w="714" w:type="pct"/>
            <w:tcBorders>
              <w:top w:val="nil"/>
              <w:left w:val="nil"/>
              <w:bottom w:val="nil"/>
              <w:right w:val="nil"/>
            </w:tcBorders>
            <w:shd w:val="clear" w:color="auto" w:fill="auto"/>
            <w:noWrap/>
            <w:vAlign w:val="bottom"/>
            <w:hideMark/>
          </w:tcPr>
          <w:p w14:paraId="6507DB2D"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Stock </w:t>
            </w:r>
          </w:p>
        </w:tc>
        <w:tc>
          <w:tcPr>
            <w:tcW w:w="714" w:type="pct"/>
            <w:tcBorders>
              <w:top w:val="nil"/>
              <w:left w:val="nil"/>
              <w:bottom w:val="nil"/>
              <w:right w:val="nil"/>
            </w:tcBorders>
            <w:shd w:val="clear" w:color="auto" w:fill="auto"/>
            <w:noWrap/>
            <w:vAlign w:val="bottom"/>
            <w:hideMark/>
          </w:tcPr>
          <w:p w14:paraId="7970430F"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62C97E00"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66F3A109"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2B75CAB6"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60EE65EE"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11,383</w:t>
            </w:r>
          </w:p>
        </w:tc>
        <w:tc>
          <w:tcPr>
            <w:tcW w:w="714" w:type="pct"/>
            <w:tcBorders>
              <w:top w:val="nil"/>
              <w:left w:val="nil"/>
              <w:bottom w:val="nil"/>
              <w:right w:val="nil"/>
            </w:tcBorders>
            <w:shd w:val="clear" w:color="auto" w:fill="auto"/>
            <w:noWrap/>
            <w:vAlign w:val="bottom"/>
            <w:hideMark/>
          </w:tcPr>
          <w:p w14:paraId="34C9560B" w14:textId="77777777" w:rsidR="007A52A3" w:rsidRPr="00214121" w:rsidRDefault="007A52A3" w:rsidP="00214121">
            <w:pPr>
              <w:jc w:val="right"/>
              <w:rPr>
                <w:rFonts w:ascii="Arial" w:hAnsi="Arial"/>
                <w:color w:val="000000"/>
                <w:sz w:val="22"/>
                <w:szCs w:val="22"/>
                <w:lang w:val="en-US"/>
              </w:rPr>
            </w:pPr>
          </w:p>
        </w:tc>
      </w:tr>
      <w:tr w:rsidR="007A52A3" w:rsidRPr="00214121" w14:paraId="0B48FEE7" w14:textId="77777777" w:rsidTr="00B9592E">
        <w:trPr>
          <w:trHeight w:val="300"/>
        </w:trPr>
        <w:tc>
          <w:tcPr>
            <w:tcW w:w="714" w:type="pct"/>
            <w:tcBorders>
              <w:top w:val="nil"/>
              <w:left w:val="nil"/>
              <w:bottom w:val="nil"/>
              <w:right w:val="nil"/>
            </w:tcBorders>
            <w:shd w:val="clear" w:color="auto" w:fill="auto"/>
            <w:noWrap/>
            <w:vAlign w:val="bottom"/>
            <w:hideMark/>
          </w:tcPr>
          <w:p w14:paraId="57CF018D"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Trade debtors </w:t>
            </w:r>
          </w:p>
        </w:tc>
        <w:tc>
          <w:tcPr>
            <w:tcW w:w="714" w:type="pct"/>
            <w:tcBorders>
              <w:top w:val="nil"/>
              <w:left w:val="nil"/>
              <w:bottom w:val="nil"/>
              <w:right w:val="nil"/>
            </w:tcBorders>
            <w:shd w:val="clear" w:color="auto" w:fill="auto"/>
            <w:noWrap/>
            <w:vAlign w:val="bottom"/>
            <w:hideMark/>
          </w:tcPr>
          <w:p w14:paraId="3B7B56B7"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05BA71D1"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5CAD0F67"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634D043"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63267F1E"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650,114</w:t>
            </w:r>
          </w:p>
        </w:tc>
        <w:tc>
          <w:tcPr>
            <w:tcW w:w="714" w:type="pct"/>
            <w:tcBorders>
              <w:top w:val="nil"/>
              <w:left w:val="nil"/>
              <w:bottom w:val="nil"/>
              <w:right w:val="nil"/>
            </w:tcBorders>
            <w:shd w:val="clear" w:color="auto" w:fill="auto"/>
            <w:noWrap/>
            <w:vAlign w:val="bottom"/>
            <w:hideMark/>
          </w:tcPr>
          <w:p w14:paraId="56E78793" w14:textId="77777777" w:rsidR="007A52A3" w:rsidRPr="00214121" w:rsidRDefault="007A52A3" w:rsidP="00214121">
            <w:pPr>
              <w:jc w:val="right"/>
              <w:rPr>
                <w:rFonts w:ascii="Arial" w:hAnsi="Arial"/>
                <w:color w:val="000000"/>
                <w:sz w:val="22"/>
                <w:szCs w:val="22"/>
                <w:lang w:val="en-US"/>
              </w:rPr>
            </w:pPr>
          </w:p>
        </w:tc>
      </w:tr>
      <w:tr w:rsidR="007A52A3" w:rsidRPr="00214121" w14:paraId="64252B13" w14:textId="77777777" w:rsidTr="00B9592E">
        <w:trPr>
          <w:trHeight w:val="300"/>
        </w:trPr>
        <w:tc>
          <w:tcPr>
            <w:tcW w:w="714" w:type="pct"/>
            <w:tcBorders>
              <w:top w:val="nil"/>
              <w:left w:val="nil"/>
              <w:bottom w:val="nil"/>
              <w:right w:val="nil"/>
            </w:tcBorders>
            <w:shd w:val="clear" w:color="auto" w:fill="auto"/>
            <w:noWrap/>
            <w:vAlign w:val="bottom"/>
            <w:hideMark/>
          </w:tcPr>
          <w:p w14:paraId="0A6797FF"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Prepayments </w:t>
            </w:r>
          </w:p>
        </w:tc>
        <w:tc>
          <w:tcPr>
            <w:tcW w:w="714" w:type="pct"/>
            <w:tcBorders>
              <w:top w:val="nil"/>
              <w:left w:val="nil"/>
              <w:bottom w:val="nil"/>
              <w:right w:val="nil"/>
            </w:tcBorders>
            <w:shd w:val="clear" w:color="auto" w:fill="auto"/>
            <w:noWrap/>
            <w:vAlign w:val="bottom"/>
            <w:hideMark/>
          </w:tcPr>
          <w:p w14:paraId="433ECE54"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5B7E4B4C"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171B9A33"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18F7461C"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614960C2"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15,649</w:t>
            </w:r>
          </w:p>
        </w:tc>
        <w:tc>
          <w:tcPr>
            <w:tcW w:w="714" w:type="pct"/>
            <w:tcBorders>
              <w:top w:val="nil"/>
              <w:left w:val="nil"/>
              <w:bottom w:val="nil"/>
              <w:right w:val="nil"/>
            </w:tcBorders>
            <w:shd w:val="clear" w:color="auto" w:fill="auto"/>
            <w:noWrap/>
            <w:vAlign w:val="bottom"/>
            <w:hideMark/>
          </w:tcPr>
          <w:p w14:paraId="5711E258" w14:textId="77777777" w:rsidR="007A52A3" w:rsidRPr="00214121" w:rsidRDefault="007A52A3" w:rsidP="00214121">
            <w:pPr>
              <w:jc w:val="right"/>
              <w:rPr>
                <w:rFonts w:ascii="Arial" w:hAnsi="Arial"/>
                <w:color w:val="000000"/>
                <w:sz w:val="22"/>
                <w:szCs w:val="22"/>
                <w:lang w:val="en-US"/>
              </w:rPr>
            </w:pPr>
          </w:p>
        </w:tc>
      </w:tr>
      <w:tr w:rsidR="007A52A3" w:rsidRPr="00214121" w14:paraId="1695A380" w14:textId="77777777" w:rsidTr="00B9592E">
        <w:trPr>
          <w:trHeight w:val="300"/>
        </w:trPr>
        <w:tc>
          <w:tcPr>
            <w:tcW w:w="2143" w:type="pct"/>
            <w:gridSpan w:val="3"/>
            <w:tcBorders>
              <w:top w:val="nil"/>
              <w:left w:val="nil"/>
              <w:bottom w:val="nil"/>
              <w:right w:val="nil"/>
            </w:tcBorders>
            <w:shd w:val="clear" w:color="auto" w:fill="auto"/>
            <w:noWrap/>
            <w:vAlign w:val="bottom"/>
            <w:hideMark/>
          </w:tcPr>
          <w:p w14:paraId="00F26155"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Interest-free loan to subsidiary company </w:t>
            </w:r>
          </w:p>
        </w:tc>
        <w:tc>
          <w:tcPr>
            <w:tcW w:w="714" w:type="pct"/>
            <w:tcBorders>
              <w:top w:val="nil"/>
              <w:left w:val="nil"/>
              <w:bottom w:val="nil"/>
              <w:right w:val="nil"/>
            </w:tcBorders>
            <w:shd w:val="clear" w:color="auto" w:fill="auto"/>
            <w:noWrap/>
            <w:vAlign w:val="bottom"/>
            <w:hideMark/>
          </w:tcPr>
          <w:p w14:paraId="6D8C9CCB"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46680A50"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20607A1A"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15,000</w:t>
            </w:r>
          </w:p>
        </w:tc>
        <w:tc>
          <w:tcPr>
            <w:tcW w:w="714" w:type="pct"/>
            <w:tcBorders>
              <w:top w:val="nil"/>
              <w:left w:val="nil"/>
              <w:bottom w:val="nil"/>
              <w:right w:val="nil"/>
            </w:tcBorders>
            <w:shd w:val="clear" w:color="auto" w:fill="auto"/>
            <w:noWrap/>
            <w:vAlign w:val="bottom"/>
            <w:hideMark/>
          </w:tcPr>
          <w:p w14:paraId="30390586" w14:textId="77777777" w:rsidR="007A52A3" w:rsidRPr="00214121" w:rsidRDefault="007A52A3" w:rsidP="00214121">
            <w:pPr>
              <w:jc w:val="right"/>
              <w:rPr>
                <w:rFonts w:ascii="Arial" w:hAnsi="Arial"/>
                <w:color w:val="000000"/>
                <w:sz w:val="22"/>
                <w:szCs w:val="22"/>
                <w:lang w:val="en-US"/>
              </w:rPr>
            </w:pPr>
          </w:p>
        </w:tc>
      </w:tr>
      <w:tr w:rsidR="007A52A3" w:rsidRPr="00214121" w14:paraId="01936853" w14:textId="77777777" w:rsidTr="00B9592E">
        <w:trPr>
          <w:trHeight w:val="300"/>
        </w:trPr>
        <w:tc>
          <w:tcPr>
            <w:tcW w:w="1429" w:type="pct"/>
            <w:gridSpan w:val="2"/>
            <w:tcBorders>
              <w:top w:val="nil"/>
              <w:left w:val="nil"/>
              <w:bottom w:val="nil"/>
              <w:right w:val="nil"/>
            </w:tcBorders>
            <w:shd w:val="clear" w:color="auto" w:fill="auto"/>
            <w:noWrap/>
            <w:vAlign w:val="bottom"/>
            <w:hideMark/>
          </w:tcPr>
          <w:p w14:paraId="05AE135C"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Cash at bank and in hand </w:t>
            </w:r>
          </w:p>
        </w:tc>
        <w:tc>
          <w:tcPr>
            <w:tcW w:w="714" w:type="pct"/>
            <w:tcBorders>
              <w:top w:val="nil"/>
              <w:left w:val="nil"/>
              <w:bottom w:val="nil"/>
              <w:right w:val="nil"/>
            </w:tcBorders>
            <w:shd w:val="clear" w:color="auto" w:fill="auto"/>
            <w:noWrap/>
            <w:vAlign w:val="bottom"/>
            <w:hideMark/>
          </w:tcPr>
          <w:p w14:paraId="02296A32"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09DBB55E"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4CC98947"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6AA4471E"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850,669</w:t>
            </w:r>
          </w:p>
        </w:tc>
        <w:tc>
          <w:tcPr>
            <w:tcW w:w="714" w:type="pct"/>
            <w:tcBorders>
              <w:top w:val="nil"/>
              <w:left w:val="nil"/>
              <w:bottom w:val="nil"/>
              <w:right w:val="nil"/>
            </w:tcBorders>
            <w:shd w:val="clear" w:color="auto" w:fill="auto"/>
            <w:noWrap/>
            <w:vAlign w:val="bottom"/>
            <w:hideMark/>
          </w:tcPr>
          <w:p w14:paraId="3B492EC1" w14:textId="77777777" w:rsidR="007A52A3" w:rsidRPr="00214121" w:rsidRDefault="007A52A3" w:rsidP="00214121">
            <w:pPr>
              <w:jc w:val="right"/>
              <w:rPr>
                <w:rFonts w:ascii="Arial" w:hAnsi="Arial"/>
                <w:color w:val="000000"/>
                <w:sz w:val="22"/>
                <w:szCs w:val="22"/>
                <w:lang w:val="en-US"/>
              </w:rPr>
            </w:pPr>
          </w:p>
        </w:tc>
      </w:tr>
      <w:tr w:rsidR="007A52A3" w:rsidRPr="00214121" w14:paraId="77231C4C" w14:textId="77777777" w:rsidTr="00B9592E">
        <w:trPr>
          <w:trHeight w:val="300"/>
        </w:trPr>
        <w:tc>
          <w:tcPr>
            <w:tcW w:w="714" w:type="pct"/>
            <w:tcBorders>
              <w:top w:val="nil"/>
              <w:left w:val="nil"/>
              <w:bottom w:val="nil"/>
              <w:right w:val="nil"/>
            </w:tcBorders>
            <w:shd w:val="clear" w:color="auto" w:fill="auto"/>
            <w:noWrap/>
            <w:vAlign w:val="bottom"/>
            <w:hideMark/>
          </w:tcPr>
          <w:p w14:paraId="0F15F333"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Trade creditors </w:t>
            </w:r>
          </w:p>
        </w:tc>
        <w:tc>
          <w:tcPr>
            <w:tcW w:w="714" w:type="pct"/>
            <w:tcBorders>
              <w:top w:val="nil"/>
              <w:left w:val="nil"/>
              <w:bottom w:val="nil"/>
              <w:right w:val="nil"/>
            </w:tcBorders>
            <w:shd w:val="clear" w:color="auto" w:fill="auto"/>
            <w:noWrap/>
            <w:vAlign w:val="bottom"/>
            <w:hideMark/>
          </w:tcPr>
          <w:p w14:paraId="581FA419"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50E73DBE"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52387E56"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5C537AB0"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09969CCA"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209A59B"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75,864</w:t>
            </w:r>
          </w:p>
        </w:tc>
      </w:tr>
      <w:tr w:rsidR="007A52A3" w:rsidRPr="00214121" w14:paraId="3C19BF9E" w14:textId="77777777" w:rsidTr="00B9592E">
        <w:trPr>
          <w:trHeight w:val="300"/>
        </w:trPr>
        <w:tc>
          <w:tcPr>
            <w:tcW w:w="714" w:type="pct"/>
            <w:tcBorders>
              <w:top w:val="nil"/>
              <w:left w:val="nil"/>
              <w:bottom w:val="nil"/>
              <w:right w:val="nil"/>
            </w:tcBorders>
            <w:shd w:val="clear" w:color="auto" w:fill="auto"/>
            <w:noWrap/>
            <w:vAlign w:val="bottom"/>
            <w:hideMark/>
          </w:tcPr>
          <w:p w14:paraId="19018C84"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Corporation tax </w:t>
            </w:r>
          </w:p>
        </w:tc>
        <w:tc>
          <w:tcPr>
            <w:tcW w:w="714" w:type="pct"/>
            <w:tcBorders>
              <w:top w:val="nil"/>
              <w:left w:val="nil"/>
              <w:bottom w:val="nil"/>
              <w:right w:val="nil"/>
            </w:tcBorders>
            <w:shd w:val="clear" w:color="auto" w:fill="auto"/>
            <w:noWrap/>
            <w:vAlign w:val="bottom"/>
            <w:hideMark/>
          </w:tcPr>
          <w:p w14:paraId="6B7875FF"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0753B3DF"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31282BC8"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6D247337"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2A6503D6"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0050F027"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16,300</w:t>
            </w:r>
          </w:p>
        </w:tc>
      </w:tr>
      <w:tr w:rsidR="007A52A3" w:rsidRPr="00214121" w14:paraId="4C89D9BB" w14:textId="77777777" w:rsidTr="00B9592E">
        <w:trPr>
          <w:trHeight w:val="300"/>
        </w:trPr>
        <w:tc>
          <w:tcPr>
            <w:tcW w:w="2857" w:type="pct"/>
            <w:gridSpan w:val="4"/>
            <w:tcBorders>
              <w:top w:val="nil"/>
              <w:left w:val="nil"/>
              <w:bottom w:val="nil"/>
              <w:right w:val="nil"/>
            </w:tcBorders>
            <w:shd w:val="clear" w:color="auto" w:fill="auto"/>
            <w:noWrap/>
            <w:vAlign w:val="bottom"/>
            <w:hideMark/>
          </w:tcPr>
          <w:p w14:paraId="42D8D3C3"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Director's current account due within one year </w:t>
            </w:r>
          </w:p>
        </w:tc>
        <w:tc>
          <w:tcPr>
            <w:tcW w:w="714" w:type="pct"/>
            <w:tcBorders>
              <w:top w:val="nil"/>
              <w:left w:val="nil"/>
              <w:bottom w:val="nil"/>
              <w:right w:val="nil"/>
            </w:tcBorders>
            <w:shd w:val="clear" w:color="auto" w:fill="auto"/>
            <w:noWrap/>
            <w:vAlign w:val="bottom"/>
            <w:hideMark/>
          </w:tcPr>
          <w:p w14:paraId="1340AD05"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333A4FBD"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5F11E4F8"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65,000</w:t>
            </w:r>
          </w:p>
        </w:tc>
      </w:tr>
      <w:tr w:rsidR="007A52A3" w:rsidRPr="00214121" w14:paraId="692AC150" w14:textId="77777777" w:rsidTr="00B9592E">
        <w:trPr>
          <w:trHeight w:val="300"/>
        </w:trPr>
        <w:tc>
          <w:tcPr>
            <w:tcW w:w="714" w:type="pct"/>
            <w:tcBorders>
              <w:top w:val="nil"/>
              <w:left w:val="nil"/>
              <w:bottom w:val="nil"/>
              <w:right w:val="nil"/>
            </w:tcBorders>
            <w:shd w:val="clear" w:color="auto" w:fill="auto"/>
            <w:noWrap/>
            <w:vAlign w:val="bottom"/>
            <w:hideMark/>
          </w:tcPr>
          <w:p w14:paraId="5F72BA64"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Sundry creditors </w:t>
            </w:r>
          </w:p>
        </w:tc>
        <w:tc>
          <w:tcPr>
            <w:tcW w:w="714" w:type="pct"/>
            <w:tcBorders>
              <w:top w:val="nil"/>
              <w:left w:val="nil"/>
              <w:bottom w:val="nil"/>
              <w:right w:val="nil"/>
            </w:tcBorders>
            <w:shd w:val="clear" w:color="auto" w:fill="auto"/>
            <w:noWrap/>
            <w:vAlign w:val="bottom"/>
            <w:hideMark/>
          </w:tcPr>
          <w:p w14:paraId="4F6577E7"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02B5B023"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0F32F2AE"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3094A706"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51D8694B"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64C5376"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8,546</w:t>
            </w:r>
          </w:p>
        </w:tc>
      </w:tr>
      <w:tr w:rsidR="007A52A3" w:rsidRPr="00214121" w14:paraId="5BB6AFA4" w14:textId="77777777" w:rsidTr="00B9592E">
        <w:trPr>
          <w:trHeight w:val="300"/>
        </w:trPr>
        <w:tc>
          <w:tcPr>
            <w:tcW w:w="1429" w:type="pct"/>
            <w:gridSpan w:val="2"/>
            <w:tcBorders>
              <w:top w:val="nil"/>
              <w:left w:val="nil"/>
              <w:bottom w:val="nil"/>
              <w:right w:val="nil"/>
            </w:tcBorders>
            <w:shd w:val="clear" w:color="auto" w:fill="auto"/>
            <w:noWrap/>
            <w:vAlign w:val="bottom"/>
            <w:hideMark/>
          </w:tcPr>
          <w:p w14:paraId="28470630"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Accrued expenses </w:t>
            </w:r>
          </w:p>
        </w:tc>
        <w:tc>
          <w:tcPr>
            <w:tcW w:w="714" w:type="pct"/>
            <w:tcBorders>
              <w:top w:val="nil"/>
              <w:left w:val="nil"/>
              <w:bottom w:val="nil"/>
              <w:right w:val="nil"/>
            </w:tcBorders>
            <w:shd w:val="clear" w:color="auto" w:fill="auto"/>
            <w:noWrap/>
            <w:vAlign w:val="bottom"/>
            <w:hideMark/>
          </w:tcPr>
          <w:p w14:paraId="47C51709"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6F118590"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0E3DE897"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810A552"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31A32B08"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23,400</w:t>
            </w:r>
          </w:p>
        </w:tc>
      </w:tr>
      <w:tr w:rsidR="007A52A3" w:rsidRPr="00214121" w14:paraId="061B9D09" w14:textId="77777777" w:rsidTr="00B9592E">
        <w:trPr>
          <w:trHeight w:val="300"/>
        </w:trPr>
        <w:tc>
          <w:tcPr>
            <w:tcW w:w="714" w:type="pct"/>
            <w:tcBorders>
              <w:top w:val="nil"/>
              <w:left w:val="nil"/>
              <w:bottom w:val="nil"/>
              <w:right w:val="nil"/>
            </w:tcBorders>
            <w:shd w:val="clear" w:color="auto" w:fill="auto"/>
            <w:noWrap/>
            <w:vAlign w:val="bottom"/>
            <w:hideMark/>
          </w:tcPr>
          <w:p w14:paraId="0A7D0956"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Deferred tax </w:t>
            </w:r>
          </w:p>
        </w:tc>
        <w:tc>
          <w:tcPr>
            <w:tcW w:w="714" w:type="pct"/>
            <w:tcBorders>
              <w:top w:val="nil"/>
              <w:left w:val="nil"/>
              <w:bottom w:val="nil"/>
              <w:right w:val="nil"/>
            </w:tcBorders>
            <w:shd w:val="clear" w:color="auto" w:fill="auto"/>
            <w:noWrap/>
            <w:vAlign w:val="bottom"/>
            <w:hideMark/>
          </w:tcPr>
          <w:p w14:paraId="79DBEB26"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04D918E1"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179C1DD2"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5B30CFF6"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AA705ED"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49B5513"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26,204</w:t>
            </w:r>
          </w:p>
        </w:tc>
      </w:tr>
      <w:tr w:rsidR="007A52A3" w:rsidRPr="00214121" w14:paraId="11F48096" w14:textId="77777777" w:rsidTr="00B9592E">
        <w:trPr>
          <w:trHeight w:val="300"/>
        </w:trPr>
        <w:tc>
          <w:tcPr>
            <w:tcW w:w="714" w:type="pct"/>
            <w:tcBorders>
              <w:top w:val="nil"/>
              <w:left w:val="nil"/>
              <w:bottom w:val="nil"/>
              <w:right w:val="nil"/>
            </w:tcBorders>
            <w:shd w:val="clear" w:color="auto" w:fill="auto"/>
            <w:noWrap/>
            <w:vAlign w:val="bottom"/>
            <w:hideMark/>
          </w:tcPr>
          <w:p w14:paraId="6C6421BB"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Share capital </w:t>
            </w:r>
          </w:p>
        </w:tc>
        <w:tc>
          <w:tcPr>
            <w:tcW w:w="714" w:type="pct"/>
            <w:tcBorders>
              <w:top w:val="nil"/>
              <w:left w:val="nil"/>
              <w:bottom w:val="nil"/>
              <w:right w:val="nil"/>
            </w:tcBorders>
            <w:shd w:val="clear" w:color="auto" w:fill="auto"/>
            <w:noWrap/>
            <w:vAlign w:val="bottom"/>
            <w:hideMark/>
          </w:tcPr>
          <w:p w14:paraId="586EFD5E"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34FAD17F"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1543C084"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633D5773"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4350CC44"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0DB91F5A"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100</w:t>
            </w:r>
          </w:p>
        </w:tc>
      </w:tr>
      <w:tr w:rsidR="007A52A3" w:rsidRPr="00214121" w14:paraId="3D0AF108" w14:textId="77777777" w:rsidTr="00B9592E">
        <w:trPr>
          <w:trHeight w:val="300"/>
        </w:trPr>
        <w:tc>
          <w:tcPr>
            <w:tcW w:w="1429" w:type="pct"/>
            <w:gridSpan w:val="2"/>
            <w:tcBorders>
              <w:top w:val="nil"/>
              <w:left w:val="nil"/>
              <w:bottom w:val="nil"/>
              <w:right w:val="nil"/>
            </w:tcBorders>
            <w:shd w:val="clear" w:color="auto" w:fill="auto"/>
            <w:noWrap/>
            <w:vAlign w:val="bottom"/>
            <w:hideMark/>
          </w:tcPr>
          <w:p w14:paraId="6BF5B981"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Profit and loss account reserves </w:t>
            </w:r>
          </w:p>
        </w:tc>
        <w:tc>
          <w:tcPr>
            <w:tcW w:w="714" w:type="pct"/>
            <w:tcBorders>
              <w:top w:val="nil"/>
              <w:left w:val="nil"/>
              <w:bottom w:val="nil"/>
              <w:right w:val="nil"/>
            </w:tcBorders>
            <w:shd w:val="clear" w:color="auto" w:fill="auto"/>
            <w:noWrap/>
            <w:vAlign w:val="bottom"/>
            <w:hideMark/>
          </w:tcPr>
          <w:p w14:paraId="4CDA80D9" w14:textId="77777777" w:rsidR="007A52A3" w:rsidRPr="00214121" w:rsidRDefault="007A52A3" w:rsidP="00214121">
            <w:pPr>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758DEFC0"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6133A0AB"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14A7AD25" w14:textId="77777777" w:rsidR="007A52A3" w:rsidRPr="00214121" w:rsidRDefault="007A52A3" w:rsidP="00214121">
            <w:pPr>
              <w:jc w:val="cente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FAA22EE"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1,754,309</w:t>
            </w:r>
          </w:p>
        </w:tc>
      </w:tr>
      <w:tr w:rsidR="007A52A3" w:rsidRPr="00214121" w14:paraId="73A0BE48" w14:textId="77777777" w:rsidTr="00B9592E">
        <w:trPr>
          <w:trHeight w:val="320"/>
        </w:trPr>
        <w:tc>
          <w:tcPr>
            <w:tcW w:w="714" w:type="pct"/>
            <w:tcBorders>
              <w:top w:val="nil"/>
              <w:left w:val="nil"/>
              <w:bottom w:val="nil"/>
              <w:right w:val="nil"/>
            </w:tcBorders>
            <w:shd w:val="clear" w:color="auto" w:fill="auto"/>
            <w:noWrap/>
            <w:vAlign w:val="bottom"/>
            <w:hideMark/>
          </w:tcPr>
          <w:p w14:paraId="67CDA163" w14:textId="77777777" w:rsidR="007A52A3" w:rsidRPr="00214121" w:rsidRDefault="007A52A3" w:rsidP="00214121">
            <w:pPr>
              <w:jc w:val="right"/>
              <w:rPr>
                <w:rFonts w:ascii="Arial" w:hAnsi="Arial"/>
                <w:color w:val="000000"/>
                <w:sz w:val="22"/>
                <w:szCs w:val="22"/>
                <w:lang w:val="en-US"/>
              </w:rPr>
            </w:pPr>
          </w:p>
        </w:tc>
        <w:tc>
          <w:tcPr>
            <w:tcW w:w="714" w:type="pct"/>
            <w:tcBorders>
              <w:top w:val="nil"/>
              <w:left w:val="nil"/>
              <w:bottom w:val="nil"/>
              <w:right w:val="nil"/>
            </w:tcBorders>
            <w:shd w:val="clear" w:color="auto" w:fill="auto"/>
            <w:noWrap/>
            <w:vAlign w:val="bottom"/>
            <w:hideMark/>
          </w:tcPr>
          <w:p w14:paraId="56B538DE"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015377B1"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7A236902" w14:textId="77777777" w:rsidR="007A52A3" w:rsidRPr="00214121" w:rsidRDefault="007A52A3" w:rsidP="00214121">
            <w:pPr>
              <w:rPr>
                <w:rFonts w:ascii="Arial" w:hAnsi="Arial"/>
                <w:sz w:val="22"/>
                <w:szCs w:val="22"/>
                <w:lang w:val="en-US"/>
              </w:rPr>
            </w:pPr>
          </w:p>
        </w:tc>
        <w:tc>
          <w:tcPr>
            <w:tcW w:w="714" w:type="pct"/>
            <w:tcBorders>
              <w:top w:val="nil"/>
              <w:left w:val="nil"/>
              <w:bottom w:val="nil"/>
              <w:right w:val="nil"/>
            </w:tcBorders>
            <w:shd w:val="clear" w:color="auto" w:fill="auto"/>
            <w:noWrap/>
            <w:vAlign w:val="bottom"/>
            <w:hideMark/>
          </w:tcPr>
          <w:p w14:paraId="3B807C45" w14:textId="77777777" w:rsidR="007A52A3" w:rsidRPr="00214121" w:rsidRDefault="007A52A3" w:rsidP="00214121">
            <w:pPr>
              <w:rPr>
                <w:rFonts w:ascii="Arial" w:hAnsi="Arial"/>
                <w:sz w:val="22"/>
                <w:szCs w:val="22"/>
                <w:lang w:val="en-US"/>
              </w:rPr>
            </w:pPr>
          </w:p>
        </w:tc>
        <w:tc>
          <w:tcPr>
            <w:tcW w:w="714" w:type="pct"/>
            <w:tcBorders>
              <w:top w:val="single" w:sz="4" w:space="0" w:color="auto"/>
              <w:left w:val="nil"/>
              <w:bottom w:val="double" w:sz="6" w:space="0" w:color="auto"/>
              <w:right w:val="nil"/>
            </w:tcBorders>
            <w:shd w:val="clear" w:color="auto" w:fill="auto"/>
            <w:noWrap/>
            <w:vAlign w:val="bottom"/>
            <w:hideMark/>
          </w:tcPr>
          <w:p w14:paraId="4B2C42E6"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2,163,253</w:t>
            </w:r>
          </w:p>
        </w:tc>
        <w:tc>
          <w:tcPr>
            <w:tcW w:w="714" w:type="pct"/>
            <w:tcBorders>
              <w:top w:val="single" w:sz="4" w:space="0" w:color="auto"/>
              <w:left w:val="nil"/>
              <w:bottom w:val="double" w:sz="6" w:space="0" w:color="auto"/>
              <w:right w:val="nil"/>
            </w:tcBorders>
            <w:shd w:val="clear" w:color="auto" w:fill="auto"/>
            <w:noWrap/>
            <w:vAlign w:val="bottom"/>
            <w:hideMark/>
          </w:tcPr>
          <w:p w14:paraId="7C0F579B"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2,163,253</w:t>
            </w:r>
          </w:p>
        </w:tc>
      </w:tr>
    </w:tbl>
    <w:p w14:paraId="78B0BC6D" w14:textId="77777777" w:rsidR="007A52A3" w:rsidRPr="00214121" w:rsidRDefault="007A52A3" w:rsidP="00214121">
      <w:pPr>
        <w:rPr>
          <w:rFonts w:ascii="Arial" w:hAnsi="Arial"/>
          <w:sz w:val="22"/>
          <w:szCs w:val="22"/>
        </w:rPr>
      </w:pPr>
    </w:p>
    <w:p w14:paraId="2F398D92" w14:textId="77777777" w:rsidR="007A52A3" w:rsidRPr="00214121" w:rsidRDefault="007A52A3" w:rsidP="00214121">
      <w:pPr>
        <w:spacing w:line="360" w:lineRule="auto"/>
        <w:rPr>
          <w:rFonts w:ascii="Arial" w:hAnsi="Arial"/>
        </w:rPr>
      </w:pPr>
      <w:r w:rsidRPr="00214121">
        <w:rPr>
          <w:rFonts w:ascii="Arial" w:hAnsi="Arial"/>
        </w:rPr>
        <w:t>Profit and loss account reserves have increased by £60,960 (£1,754,309 less £1,693,349) and this increase is reconciled as follows:</w:t>
      </w:r>
    </w:p>
    <w:p w14:paraId="4DF8EA23" w14:textId="77777777" w:rsidR="007A52A3" w:rsidRPr="00214121" w:rsidRDefault="007A52A3" w:rsidP="00214121">
      <w:pPr>
        <w:spacing w:line="360" w:lineRule="auto"/>
        <w:rPr>
          <w:rFonts w:ascii="Arial" w:hAnsi="Arial"/>
        </w:rPr>
      </w:pPr>
    </w:p>
    <w:tbl>
      <w:tblPr>
        <w:tblW w:w="5000" w:type="pct"/>
        <w:tblLook w:val="04A0" w:firstRow="1" w:lastRow="0" w:firstColumn="1" w:lastColumn="0" w:noHBand="0" w:noVBand="1"/>
      </w:tblPr>
      <w:tblGrid>
        <w:gridCol w:w="1643"/>
        <w:gridCol w:w="1644"/>
        <w:gridCol w:w="1642"/>
        <w:gridCol w:w="1642"/>
        <w:gridCol w:w="1642"/>
        <w:gridCol w:w="1642"/>
      </w:tblGrid>
      <w:tr w:rsidR="007A52A3" w:rsidRPr="007A52A3" w14:paraId="6E28CDEF" w14:textId="77777777" w:rsidTr="00B9592E">
        <w:trPr>
          <w:trHeight w:val="300"/>
        </w:trPr>
        <w:tc>
          <w:tcPr>
            <w:tcW w:w="833" w:type="pct"/>
            <w:tcBorders>
              <w:top w:val="nil"/>
              <w:left w:val="nil"/>
              <w:bottom w:val="nil"/>
              <w:right w:val="nil"/>
            </w:tcBorders>
            <w:shd w:val="clear" w:color="auto" w:fill="auto"/>
            <w:noWrap/>
            <w:vAlign w:val="bottom"/>
            <w:hideMark/>
          </w:tcPr>
          <w:p w14:paraId="613B2139" w14:textId="77777777" w:rsidR="007A52A3" w:rsidRPr="00214121" w:rsidRDefault="007A52A3" w:rsidP="00214121">
            <w:pPr>
              <w:rPr>
                <w:rFonts w:ascii="Arial" w:hAnsi="Arial"/>
                <w:sz w:val="22"/>
                <w:szCs w:val="22"/>
                <w:lang w:val="en-US"/>
              </w:rPr>
            </w:pPr>
          </w:p>
        </w:tc>
        <w:tc>
          <w:tcPr>
            <w:tcW w:w="833" w:type="pct"/>
            <w:tcBorders>
              <w:top w:val="nil"/>
              <w:left w:val="nil"/>
              <w:bottom w:val="nil"/>
              <w:right w:val="nil"/>
            </w:tcBorders>
            <w:shd w:val="clear" w:color="auto" w:fill="auto"/>
            <w:noWrap/>
            <w:vAlign w:val="bottom"/>
            <w:hideMark/>
          </w:tcPr>
          <w:p w14:paraId="34765FC0" w14:textId="77777777" w:rsidR="007A52A3" w:rsidRPr="00214121" w:rsidRDefault="007A52A3" w:rsidP="00214121">
            <w:pPr>
              <w:rPr>
                <w:rFonts w:ascii="Arial" w:hAnsi="Arial"/>
                <w:sz w:val="22"/>
                <w:szCs w:val="22"/>
                <w:lang w:val="en-US"/>
              </w:rPr>
            </w:pPr>
          </w:p>
        </w:tc>
        <w:tc>
          <w:tcPr>
            <w:tcW w:w="833" w:type="pct"/>
            <w:tcBorders>
              <w:top w:val="nil"/>
              <w:left w:val="nil"/>
              <w:bottom w:val="nil"/>
              <w:right w:val="nil"/>
            </w:tcBorders>
            <w:shd w:val="clear" w:color="auto" w:fill="auto"/>
            <w:noWrap/>
            <w:vAlign w:val="bottom"/>
            <w:hideMark/>
          </w:tcPr>
          <w:p w14:paraId="3C440CA3" w14:textId="77777777" w:rsidR="007A52A3" w:rsidRPr="00214121" w:rsidRDefault="007A52A3" w:rsidP="00214121">
            <w:pPr>
              <w:rPr>
                <w:rFonts w:ascii="Arial" w:hAnsi="Arial"/>
                <w:sz w:val="22"/>
                <w:szCs w:val="22"/>
                <w:lang w:val="en-US"/>
              </w:rPr>
            </w:pPr>
          </w:p>
        </w:tc>
        <w:tc>
          <w:tcPr>
            <w:tcW w:w="833" w:type="pct"/>
            <w:tcBorders>
              <w:top w:val="nil"/>
              <w:left w:val="nil"/>
              <w:bottom w:val="nil"/>
              <w:right w:val="nil"/>
            </w:tcBorders>
            <w:shd w:val="clear" w:color="auto" w:fill="auto"/>
            <w:noWrap/>
            <w:vAlign w:val="bottom"/>
            <w:hideMark/>
          </w:tcPr>
          <w:p w14:paraId="19A5926C" w14:textId="77777777" w:rsidR="007A52A3" w:rsidRPr="00214121" w:rsidRDefault="007A52A3" w:rsidP="00214121">
            <w:pPr>
              <w:rPr>
                <w:rFonts w:ascii="Arial" w:hAnsi="Arial"/>
                <w:sz w:val="22"/>
                <w:szCs w:val="22"/>
                <w:lang w:val="en-US"/>
              </w:rPr>
            </w:pPr>
          </w:p>
        </w:tc>
        <w:tc>
          <w:tcPr>
            <w:tcW w:w="833" w:type="pct"/>
            <w:tcBorders>
              <w:top w:val="nil"/>
              <w:left w:val="nil"/>
              <w:bottom w:val="nil"/>
              <w:right w:val="nil"/>
            </w:tcBorders>
            <w:shd w:val="clear" w:color="auto" w:fill="auto"/>
            <w:noWrap/>
            <w:vAlign w:val="bottom"/>
            <w:hideMark/>
          </w:tcPr>
          <w:p w14:paraId="7FEEFE77" w14:textId="77777777" w:rsidR="007A52A3" w:rsidRPr="00214121" w:rsidRDefault="007A52A3" w:rsidP="00214121">
            <w:pPr>
              <w:rPr>
                <w:rFonts w:ascii="Arial" w:hAnsi="Arial"/>
                <w:sz w:val="22"/>
                <w:szCs w:val="22"/>
                <w:lang w:val="en-US"/>
              </w:rPr>
            </w:pPr>
          </w:p>
        </w:tc>
        <w:tc>
          <w:tcPr>
            <w:tcW w:w="833" w:type="pct"/>
            <w:tcBorders>
              <w:top w:val="nil"/>
              <w:left w:val="nil"/>
              <w:bottom w:val="nil"/>
              <w:right w:val="nil"/>
            </w:tcBorders>
            <w:shd w:val="clear" w:color="auto" w:fill="auto"/>
            <w:noWrap/>
            <w:vAlign w:val="bottom"/>
            <w:hideMark/>
          </w:tcPr>
          <w:p w14:paraId="0EA51524"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w:t>
            </w:r>
          </w:p>
        </w:tc>
      </w:tr>
      <w:tr w:rsidR="007A52A3" w:rsidRPr="007A52A3" w14:paraId="226D95C7" w14:textId="77777777" w:rsidTr="00B9592E">
        <w:trPr>
          <w:trHeight w:val="300"/>
        </w:trPr>
        <w:tc>
          <w:tcPr>
            <w:tcW w:w="3333" w:type="pct"/>
            <w:gridSpan w:val="4"/>
            <w:tcBorders>
              <w:top w:val="nil"/>
              <w:left w:val="nil"/>
              <w:bottom w:val="nil"/>
              <w:right w:val="nil"/>
            </w:tcBorders>
            <w:shd w:val="clear" w:color="auto" w:fill="auto"/>
            <w:noWrap/>
            <w:vAlign w:val="bottom"/>
            <w:hideMark/>
          </w:tcPr>
          <w:p w14:paraId="2E712B15"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Profit and loss account reserves under previous UK GAAP</w:t>
            </w:r>
          </w:p>
        </w:tc>
        <w:tc>
          <w:tcPr>
            <w:tcW w:w="833" w:type="pct"/>
            <w:tcBorders>
              <w:top w:val="nil"/>
              <w:left w:val="nil"/>
              <w:bottom w:val="nil"/>
              <w:right w:val="nil"/>
            </w:tcBorders>
            <w:shd w:val="clear" w:color="auto" w:fill="auto"/>
            <w:noWrap/>
            <w:vAlign w:val="bottom"/>
            <w:hideMark/>
          </w:tcPr>
          <w:p w14:paraId="468E95C7" w14:textId="77777777" w:rsidR="007A52A3" w:rsidRPr="00214121" w:rsidRDefault="007A52A3" w:rsidP="00214121">
            <w:pPr>
              <w:rPr>
                <w:rFonts w:ascii="Arial" w:hAnsi="Arial"/>
                <w:color w:val="000000"/>
                <w:sz w:val="22"/>
                <w:szCs w:val="22"/>
                <w:lang w:val="en-US"/>
              </w:rPr>
            </w:pPr>
          </w:p>
        </w:tc>
        <w:tc>
          <w:tcPr>
            <w:tcW w:w="833" w:type="pct"/>
            <w:tcBorders>
              <w:top w:val="nil"/>
              <w:left w:val="nil"/>
              <w:bottom w:val="nil"/>
              <w:right w:val="nil"/>
            </w:tcBorders>
            <w:shd w:val="clear" w:color="auto" w:fill="auto"/>
            <w:noWrap/>
            <w:vAlign w:val="bottom"/>
            <w:hideMark/>
          </w:tcPr>
          <w:p w14:paraId="6714C244"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1,693,349 </w:t>
            </w:r>
          </w:p>
        </w:tc>
      </w:tr>
      <w:tr w:rsidR="007A52A3" w:rsidRPr="007A52A3" w14:paraId="1F72F00D" w14:textId="77777777" w:rsidTr="00B9592E">
        <w:trPr>
          <w:trHeight w:val="300"/>
        </w:trPr>
        <w:tc>
          <w:tcPr>
            <w:tcW w:w="3333" w:type="pct"/>
            <w:gridSpan w:val="4"/>
            <w:tcBorders>
              <w:top w:val="nil"/>
              <w:left w:val="nil"/>
              <w:bottom w:val="nil"/>
              <w:right w:val="nil"/>
            </w:tcBorders>
            <w:shd w:val="clear" w:color="auto" w:fill="auto"/>
            <w:noWrap/>
            <w:vAlign w:val="bottom"/>
            <w:hideMark/>
          </w:tcPr>
          <w:p w14:paraId="6117BC6C"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Reallocation of revaluation reserve for investment property </w:t>
            </w:r>
          </w:p>
        </w:tc>
        <w:tc>
          <w:tcPr>
            <w:tcW w:w="833" w:type="pct"/>
            <w:tcBorders>
              <w:top w:val="nil"/>
              <w:left w:val="nil"/>
              <w:bottom w:val="nil"/>
              <w:right w:val="nil"/>
            </w:tcBorders>
            <w:shd w:val="clear" w:color="auto" w:fill="auto"/>
            <w:noWrap/>
            <w:vAlign w:val="bottom"/>
            <w:hideMark/>
          </w:tcPr>
          <w:p w14:paraId="66A45FDC" w14:textId="77777777" w:rsidR="007A52A3" w:rsidRPr="00214121" w:rsidRDefault="007A52A3" w:rsidP="00214121">
            <w:pPr>
              <w:rPr>
                <w:rFonts w:ascii="Arial" w:hAnsi="Arial"/>
                <w:color w:val="000000"/>
                <w:sz w:val="22"/>
                <w:szCs w:val="22"/>
                <w:lang w:val="en-US"/>
              </w:rPr>
            </w:pPr>
          </w:p>
        </w:tc>
        <w:tc>
          <w:tcPr>
            <w:tcW w:w="833" w:type="pct"/>
            <w:tcBorders>
              <w:top w:val="nil"/>
              <w:left w:val="nil"/>
              <w:bottom w:val="single" w:sz="4" w:space="0" w:color="auto"/>
              <w:right w:val="nil"/>
            </w:tcBorders>
            <w:shd w:val="clear" w:color="auto" w:fill="auto"/>
            <w:noWrap/>
            <w:vAlign w:val="bottom"/>
            <w:hideMark/>
          </w:tcPr>
          <w:p w14:paraId="4AFE78F3"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85,200 </w:t>
            </w:r>
          </w:p>
        </w:tc>
      </w:tr>
      <w:tr w:rsidR="007A52A3" w:rsidRPr="007A52A3" w14:paraId="29D9954E" w14:textId="77777777" w:rsidTr="00B9592E">
        <w:trPr>
          <w:trHeight w:val="300"/>
        </w:trPr>
        <w:tc>
          <w:tcPr>
            <w:tcW w:w="833" w:type="pct"/>
            <w:tcBorders>
              <w:top w:val="nil"/>
              <w:left w:val="nil"/>
              <w:bottom w:val="nil"/>
              <w:right w:val="nil"/>
            </w:tcBorders>
            <w:shd w:val="clear" w:color="auto" w:fill="auto"/>
            <w:noWrap/>
            <w:vAlign w:val="bottom"/>
            <w:hideMark/>
          </w:tcPr>
          <w:p w14:paraId="176FDA2C" w14:textId="77777777" w:rsidR="007A52A3" w:rsidRPr="00214121" w:rsidRDefault="007A52A3" w:rsidP="00214121">
            <w:pPr>
              <w:jc w:val="right"/>
              <w:rPr>
                <w:rFonts w:ascii="Arial" w:hAnsi="Arial"/>
                <w:color w:val="000000"/>
                <w:sz w:val="22"/>
                <w:szCs w:val="22"/>
                <w:lang w:val="en-US"/>
              </w:rPr>
            </w:pPr>
          </w:p>
        </w:tc>
        <w:tc>
          <w:tcPr>
            <w:tcW w:w="833" w:type="pct"/>
            <w:tcBorders>
              <w:top w:val="nil"/>
              <w:left w:val="nil"/>
              <w:bottom w:val="nil"/>
              <w:right w:val="nil"/>
            </w:tcBorders>
            <w:shd w:val="clear" w:color="auto" w:fill="auto"/>
            <w:noWrap/>
            <w:vAlign w:val="bottom"/>
            <w:hideMark/>
          </w:tcPr>
          <w:p w14:paraId="39118D58" w14:textId="77777777" w:rsidR="007A52A3" w:rsidRPr="00214121" w:rsidRDefault="007A52A3" w:rsidP="00214121">
            <w:pPr>
              <w:rPr>
                <w:rFonts w:ascii="Arial" w:hAnsi="Arial"/>
                <w:sz w:val="22"/>
                <w:szCs w:val="22"/>
                <w:lang w:val="en-US"/>
              </w:rPr>
            </w:pPr>
          </w:p>
        </w:tc>
        <w:tc>
          <w:tcPr>
            <w:tcW w:w="833" w:type="pct"/>
            <w:tcBorders>
              <w:top w:val="nil"/>
              <w:left w:val="nil"/>
              <w:bottom w:val="nil"/>
              <w:right w:val="nil"/>
            </w:tcBorders>
            <w:shd w:val="clear" w:color="auto" w:fill="auto"/>
            <w:noWrap/>
            <w:vAlign w:val="bottom"/>
            <w:hideMark/>
          </w:tcPr>
          <w:p w14:paraId="71684E1F" w14:textId="77777777" w:rsidR="007A52A3" w:rsidRPr="00214121" w:rsidRDefault="007A52A3" w:rsidP="00214121">
            <w:pPr>
              <w:rPr>
                <w:rFonts w:ascii="Arial" w:hAnsi="Arial"/>
                <w:sz w:val="22"/>
                <w:szCs w:val="22"/>
                <w:lang w:val="en-US"/>
              </w:rPr>
            </w:pPr>
          </w:p>
        </w:tc>
        <w:tc>
          <w:tcPr>
            <w:tcW w:w="833" w:type="pct"/>
            <w:tcBorders>
              <w:top w:val="nil"/>
              <w:left w:val="nil"/>
              <w:bottom w:val="nil"/>
              <w:right w:val="nil"/>
            </w:tcBorders>
            <w:shd w:val="clear" w:color="auto" w:fill="auto"/>
            <w:noWrap/>
            <w:vAlign w:val="bottom"/>
            <w:hideMark/>
          </w:tcPr>
          <w:p w14:paraId="4989DD58" w14:textId="77777777" w:rsidR="007A52A3" w:rsidRPr="00214121" w:rsidRDefault="007A52A3" w:rsidP="00214121">
            <w:pPr>
              <w:rPr>
                <w:rFonts w:ascii="Arial" w:hAnsi="Arial"/>
                <w:sz w:val="22"/>
                <w:szCs w:val="22"/>
                <w:lang w:val="en-US"/>
              </w:rPr>
            </w:pPr>
          </w:p>
        </w:tc>
        <w:tc>
          <w:tcPr>
            <w:tcW w:w="833" w:type="pct"/>
            <w:tcBorders>
              <w:top w:val="nil"/>
              <w:left w:val="nil"/>
              <w:bottom w:val="nil"/>
              <w:right w:val="nil"/>
            </w:tcBorders>
            <w:shd w:val="clear" w:color="auto" w:fill="auto"/>
            <w:noWrap/>
            <w:vAlign w:val="bottom"/>
            <w:hideMark/>
          </w:tcPr>
          <w:p w14:paraId="48FD49F7" w14:textId="77777777" w:rsidR="007A52A3" w:rsidRPr="00214121" w:rsidRDefault="007A52A3" w:rsidP="00214121">
            <w:pPr>
              <w:rPr>
                <w:rFonts w:ascii="Arial" w:hAnsi="Arial"/>
                <w:sz w:val="22"/>
                <w:szCs w:val="22"/>
                <w:lang w:val="en-US"/>
              </w:rPr>
            </w:pPr>
          </w:p>
        </w:tc>
        <w:tc>
          <w:tcPr>
            <w:tcW w:w="833" w:type="pct"/>
            <w:tcBorders>
              <w:top w:val="nil"/>
              <w:left w:val="nil"/>
              <w:bottom w:val="nil"/>
              <w:right w:val="nil"/>
            </w:tcBorders>
            <w:shd w:val="clear" w:color="auto" w:fill="auto"/>
            <w:noWrap/>
            <w:vAlign w:val="bottom"/>
            <w:hideMark/>
          </w:tcPr>
          <w:p w14:paraId="380B7022"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1,778,549 </w:t>
            </w:r>
          </w:p>
        </w:tc>
      </w:tr>
      <w:tr w:rsidR="007A52A3" w:rsidRPr="007A52A3" w14:paraId="5DD2BC3C" w14:textId="77777777" w:rsidTr="00B9592E">
        <w:trPr>
          <w:trHeight w:val="300"/>
        </w:trPr>
        <w:tc>
          <w:tcPr>
            <w:tcW w:w="3333" w:type="pct"/>
            <w:gridSpan w:val="4"/>
            <w:tcBorders>
              <w:top w:val="nil"/>
              <w:left w:val="nil"/>
              <w:bottom w:val="nil"/>
              <w:right w:val="nil"/>
            </w:tcBorders>
            <w:shd w:val="clear" w:color="auto" w:fill="auto"/>
            <w:noWrap/>
            <w:vAlign w:val="bottom"/>
            <w:hideMark/>
          </w:tcPr>
          <w:p w14:paraId="1B4199B8"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Additional deferred tax recognised on investment property </w:t>
            </w:r>
          </w:p>
        </w:tc>
        <w:tc>
          <w:tcPr>
            <w:tcW w:w="833" w:type="pct"/>
            <w:tcBorders>
              <w:top w:val="nil"/>
              <w:left w:val="nil"/>
              <w:bottom w:val="nil"/>
              <w:right w:val="nil"/>
            </w:tcBorders>
            <w:shd w:val="clear" w:color="auto" w:fill="auto"/>
            <w:noWrap/>
            <w:vAlign w:val="bottom"/>
            <w:hideMark/>
          </w:tcPr>
          <w:p w14:paraId="3EB2ED27" w14:textId="77777777" w:rsidR="007A52A3" w:rsidRPr="00214121" w:rsidRDefault="007A52A3" w:rsidP="00214121">
            <w:pPr>
              <w:rPr>
                <w:rFonts w:ascii="Arial" w:hAnsi="Arial"/>
                <w:color w:val="000000"/>
                <w:sz w:val="22"/>
                <w:szCs w:val="22"/>
                <w:lang w:val="en-US"/>
              </w:rPr>
            </w:pPr>
          </w:p>
        </w:tc>
        <w:tc>
          <w:tcPr>
            <w:tcW w:w="833" w:type="pct"/>
            <w:tcBorders>
              <w:top w:val="nil"/>
              <w:left w:val="nil"/>
              <w:bottom w:val="nil"/>
              <w:right w:val="nil"/>
            </w:tcBorders>
            <w:shd w:val="clear" w:color="auto" w:fill="auto"/>
            <w:noWrap/>
            <w:vAlign w:val="bottom"/>
            <w:hideMark/>
          </w:tcPr>
          <w:p w14:paraId="7140CBAE"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(17,040)</w:t>
            </w:r>
          </w:p>
        </w:tc>
      </w:tr>
      <w:tr w:rsidR="007A52A3" w:rsidRPr="007A52A3" w14:paraId="68726A30" w14:textId="77777777" w:rsidTr="00B9592E">
        <w:trPr>
          <w:trHeight w:val="300"/>
        </w:trPr>
        <w:tc>
          <w:tcPr>
            <w:tcW w:w="1667" w:type="pct"/>
            <w:gridSpan w:val="2"/>
            <w:tcBorders>
              <w:top w:val="nil"/>
              <w:left w:val="nil"/>
              <w:bottom w:val="nil"/>
              <w:right w:val="nil"/>
            </w:tcBorders>
            <w:shd w:val="clear" w:color="auto" w:fill="auto"/>
            <w:noWrap/>
            <w:vAlign w:val="bottom"/>
            <w:hideMark/>
          </w:tcPr>
          <w:p w14:paraId="788C2488"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Holiday pay accrual </w:t>
            </w:r>
          </w:p>
        </w:tc>
        <w:tc>
          <w:tcPr>
            <w:tcW w:w="833" w:type="pct"/>
            <w:tcBorders>
              <w:top w:val="nil"/>
              <w:left w:val="nil"/>
              <w:bottom w:val="nil"/>
              <w:right w:val="nil"/>
            </w:tcBorders>
            <w:shd w:val="clear" w:color="auto" w:fill="auto"/>
            <w:noWrap/>
            <w:vAlign w:val="bottom"/>
            <w:hideMark/>
          </w:tcPr>
          <w:p w14:paraId="33627456" w14:textId="77777777" w:rsidR="007A52A3" w:rsidRPr="00214121" w:rsidRDefault="007A52A3" w:rsidP="00214121">
            <w:pPr>
              <w:rPr>
                <w:rFonts w:ascii="Arial" w:hAnsi="Arial"/>
                <w:color w:val="000000"/>
                <w:sz w:val="22"/>
                <w:szCs w:val="22"/>
                <w:lang w:val="en-US"/>
              </w:rPr>
            </w:pPr>
          </w:p>
        </w:tc>
        <w:tc>
          <w:tcPr>
            <w:tcW w:w="833" w:type="pct"/>
            <w:tcBorders>
              <w:top w:val="nil"/>
              <w:left w:val="nil"/>
              <w:bottom w:val="nil"/>
              <w:right w:val="nil"/>
            </w:tcBorders>
            <w:shd w:val="clear" w:color="auto" w:fill="auto"/>
            <w:noWrap/>
            <w:vAlign w:val="bottom"/>
            <w:hideMark/>
          </w:tcPr>
          <w:p w14:paraId="6315D5B1" w14:textId="77777777" w:rsidR="007A52A3" w:rsidRPr="00214121" w:rsidRDefault="007A52A3" w:rsidP="00214121">
            <w:pPr>
              <w:rPr>
                <w:rFonts w:ascii="Arial" w:hAnsi="Arial"/>
                <w:sz w:val="22"/>
                <w:szCs w:val="22"/>
                <w:lang w:val="en-US"/>
              </w:rPr>
            </w:pPr>
          </w:p>
        </w:tc>
        <w:tc>
          <w:tcPr>
            <w:tcW w:w="833" w:type="pct"/>
            <w:tcBorders>
              <w:top w:val="nil"/>
              <w:left w:val="nil"/>
              <w:bottom w:val="nil"/>
              <w:right w:val="nil"/>
            </w:tcBorders>
            <w:shd w:val="clear" w:color="auto" w:fill="auto"/>
            <w:noWrap/>
            <w:vAlign w:val="bottom"/>
            <w:hideMark/>
          </w:tcPr>
          <w:p w14:paraId="57B3C7F5" w14:textId="77777777" w:rsidR="007A52A3" w:rsidRPr="00214121" w:rsidRDefault="007A52A3" w:rsidP="00214121">
            <w:pPr>
              <w:rPr>
                <w:rFonts w:ascii="Arial" w:hAnsi="Arial"/>
                <w:sz w:val="22"/>
                <w:szCs w:val="22"/>
                <w:lang w:val="en-US"/>
              </w:rPr>
            </w:pPr>
          </w:p>
        </w:tc>
        <w:tc>
          <w:tcPr>
            <w:tcW w:w="833" w:type="pct"/>
            <w:tcBorders>
              <w:top w:val="nil"/>
              <w:left w:val="nil"/>
              <w:bottom w:val="nil"/>
              <w:right w:val="nil"/>
            </w:tcBorders>
            <w:shd w:val="clear" w:color="auto" w:fill="auto"/>
            <w:noWrap/>
            <w:vAlign w:val="bottom"/>
            <w:hideMark/>
          </w:tcPr>
          <w:p w14:paraId="270AE7FC"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(7,200)</w:t>
            </w:r>
          </w:p>
        </w:tc>
      </w:tr>
      <w:tr w:rsidR="007A52A3" w:rsidRPr="007A52A3" w14:paraId="08DE793C" w14:textId="77777777" w:rsidTr="00B9592E">
        <w:trPr>
          <w:trHeight w:val="320"/>
        </w:trPr>
        <w:tc>
          <w:tcPr>
            <w:tcW w:w="2500" w:type="pct"/>
            <w:gridSpan w:val="3"/>
            <w:tcBorders>
              <w:top w:val="nil"/>
              <w:left w:val="nil"/>
              <w:bottom w:val="nil"/>
              <w:right w:val="nil"/>
            </w:tcBorders>
            <w:shd w:val="clear" w:color="auto" w:fill="auto"/>
            <w:noWrap/>
            <w:vAlign w:val="bottom"/>
            <w:hideMark/>
          </w:tcPr>
          <w:p w14:paraId="0860A3C2"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Profit and loss account reserves under FRS 102 </w:t>
            </w:r>
          </w:p>
        </w:tc>
        <w:tc>
          <w:tcPr>
            <w:tcW w:w="833" w:type="pct"/>
            <w:tcBorders>
              <w:top w:val="nil"/>
              <w:left w:val="nil"/>
              <w:bottom w:val="nil"/>
              <w:right w:val="nil"/>
            </w:tcBorders>
            <w:shd w:val="clear" w:color="auto" w:fill="auto"/>
            <w:noWrap/>
            <w:vAlign w:val="bottom"/>
            <w:hideMark/>
          </w:tcPr>
          <w:p w14:paraId="7E7707AA" w14:textId="77777777" w:rsidR="007A52A3" w:rsidRPr="00214121" w:rsidRDefault="007A52A3" w:rsidP="00214121">
            <w:pPr>
              <w:rPr>
                <w:rFonts w:ascii="Arial" w:hAnsi="Arial"/>
                <w:color w:val="000000"/>
                <w:sz w:val="22"/>
                <w:szCs w:val="22"/>
                <w:lang w:val="en-US"/>
              </w:rPr>
            </w:pPr>
          </w:p>
        </w:tc>
        <w:tc>
          <w:tcPr>
            <w:tcW w:w="833" w:type="pct"/>
            <w:tcBorders>
              <w:top w:val="nil"/>
              <w:left w:val="nil"/>
              <w:bottom w:val="nil"/>
              <w:right w:val="nil"/>
            </w:tcBorders>
            <w:shd w:val="clear" w:color="auto" w:fill="auto"/>
            <w:noWrap/>
            <w:vAlign w:val="bottom"/>
            <w:hideMark/>
          </w:tcPr>
          <w:p w14:paraId="376DFBD2" w14:textId="77777777" w:rsidR="007A52A3" w:rsidRPr="00214121" w:rsidRDefault="007A52A3" w:rsidP="00214121">
            <w:pPr>
              <w:rPr>
                <w:rFonts w:ascii="Arial" w:hAnsi="Arial"/>
                <w:sz w:val="22"/>
                <w:szCs w:val="22"/>
                <w:lang w:val="en-US"/>
              </w:rPr>
            </w:pPr>
          </w:p>
        </w:tc>
        <w:tc>
          <w:tcPr>
            <w:tcW w:w="833" w:type="pct"/>
            <w:tcBorders>
              <w:top w:val="single" w:sz="4" w:space="0" w:color="auto"/>
              <w:left w:val="nil"/>
              <w:bottom w:val="double" w:sz="6" w:space="0" w:color="auto"/>
              <w:right w:val="nil"/>
            </w:tcBorders>
            <w:shd w:val="clear" w:color="auto" w:fill="auto"/>
            <w:noWrap/>
            <w:vAlign w:val="bottom"/>
            <w:hideMark/>
          </w:tcPr>
          <w:p w14:paraId="116272E5"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1,754,309 </w:t>
            </w:r>
          </w:p>
        </w:tc>
      </w:tr>
    </w:tbl>
    <w:p w14:paraId="59DDB58F" w14:textId="77777777" w:rsidR="007A52A3" w:rsidRPr="00214121" w:rsidRDefault="007A52A3" w:rsidP="00214121">
      <w:pPr>
        <w:spacing w:line="360" w:lineRule="auto"/>
        <w:rPr>
          <w:rFonts w:ascii="Arial" w:hAnsi="Arial"/>
        </w:rPr>
      </w:pPr>
    </w:p>
    <w:p w14:paraId="298B02B9" w14:textId="06D5F540" w:rsidR="007A52A3" w:rsidRPr="00214121" w:rsidRDefault="007A52A3" w:rsidP="00214121">
      <w:pPr>
        <w:pStyle w:val="Heading2"/>
        <w:spacing w:line="360" w:lineRule="auto"/>
        <w:rPr>
          <w:rFonts w:ascii="Arial" w:hAnsi="Arial"/>
          <w:sz w:val="24"/>
          <w:szCs w:val="24"/>
        </w:rPr>
      </w:pPr>
      <w:r w:rsidRPr="00214121">
        <w:rPr>
          <w:rFonts w:ascii="Arial" w:hAnsi="Arial"/>
          <w:sz w:val="24"/>
          <w:szCs w:val="24"/>
        </w:rPr>
        <w:t>Prior</w:t>
      </w:r>
      <w:r w:rsidR="00B35824">
        <w:rPr>
          <w:rFonts w:ascii="Arial" w:hAnsi="Arial"/>
          <w:sz w:val="24"/>
          <w:szCs w:val="24"/>
        </w:rPr>
        <w:t>-</w:t>
      </w:r>
      <w:r w:rsidRPr="00214121">
        <w:rPr>
          <w:rFonts w:ascii="Arial" w:hAnsi="Arial"/>
          <w:sz w:val="24"/>
          <w:szCs w:val="24"/>
        </w:rPr>
        <w:t>year adjustments</w:t>
      </w:r>
    </w:p>
    <w:p w14:paraId="54F42987" w14:textId="0C65D6F8" w:rsidR="007A52A3" w:rsidRPr="00214121" w:rsidRDefault="007A52A3" w:rsidP="00214121">
      <w:pPr>
        <w:spacing w:line="360" w:lineRule="auto"/>
        <w:rPr>
          <w:rFonts w:ascii="Arial" w:hAnsi="Arial"/>
        </w:rPr>
      </w:pPr>
      <w:r w:rsidRPr="00214121">
        <w:rPr>
          <w:rFonts w:ascii="Arial" w:hAnsi="Arial"/>
        </w:rPr>
        <w:t xml:space="preserve">Adjustments are made to the opening balance sheet position so that the ‘starting point’ within the first FRS 102 financial statements </w:t>
      </w:r>
      <w:r w:rsidR="003E05A8">
        <w:rPr>
          <w:rFonts w:ascii="Arial" w:hAnsi="Arial"/>
        </w:rPr>
        <w:t>is</w:t>
      </w:r>
      <w:r w:rsidRPr="00214121">
        <w:rPr>
          <w:rFonts w:ascii="Arial" w:hAnsi="Arial"/>
        </w:rPr>
        <w:t xml:space="preserve"> compliant with the requirements of the standard.</w:t>
      </w:r>
      <w:r>
        <w:rPr>
          <w:rFonts w:ascii="Arial" w:hAnsi="Arial"/>
        </w:rPr>
        <w:t xml:space="preserve"> </w:t>
      </w:r>
      <w:r w:rsidRPr="00214121">
        <w:rPr>
          <w:rFonts w:ascii="Arial" w:hAnsi="Arial"/>
        </w:rPr>
        <w:t xml:space="preserve">As financial statements will invariably include the previous year as comparative, those comparatives must also be restated so </w:t>
      </w:r>
      <w:r w:rsidR="003E05A8">
        <w:rPr>
          <w:rFonts w:ascii="Arial" w:hAnsi="Arial"/>
        </w:rPr>
        <w:t xml:space="preserve">that </w:t>
      </w:r>
      <w:r w:rsidRPr="00214121">
        <w:rPr>
          <w:rFonts w:ascii="Arial" w:hAnsi="Arial"/>
        </w:rPr>
        <w:t>they reflect the provisions in FRS 102.</w:t>
      </w:r>
      <w:r>
        <w:rPr>
          <w:rFonts w:ascii="Arial" w:hAnsi="Arial"/>
        </w:rPr>
        <w:t xml:space="preserve"> </w:t>
      </w:r>
      <w:r w:rsidRPr="00214121">
        <w:rPr>
          <w:rFonts w:ascii="Arial" w:hAnsi="Arial"/>
        </w:rPr>
        <w:t xml:space="preserve">This will enable the financial statements to be comparable and consistent. </w:t>
      </w:r>
    </w:p>
    <w:p w14:paraId="35EA1455" w14:textId="77777777" w:rsidR="007A52A3" w:rsidRPr="00214121" w:rsidRDefault="007A52A3" w:rsidP="00214121">
      <w:pPr>
        <w:spacing w:line="360" w:lineRule="auto"/>
        <w:rPr>
          <w:rFonts w:ascii="Arial" w:hAnsi="Arial"/>
        </w:rPr>
      </w:pPr>
    </w:p>
    <w:p w14:paraId="701AD71E" w14:textId="77777777" w:rsidR="007A52A3" w:rsidRPr="00214121" w:rsidRDefault="007A52A3" w:rsidP="00214121">
      <w:pPr>
        <w:spacing w:line="360" w:lineRule="auto"/>
        <w:rPr>
          <w:rFonts w:ascii="Arial" w:hAnsi="Arial"/>
        </w:rPr>
      </w:pPr>
      <w:r w:rsidRPr="00214121">
        <w:rPr>
          <w:rFonts w:ascii="Arial" w:hAnsi="Arial"/>
        </w:rPr>
        <w:lastRenderedPageBreak/>
        <w:t>Continuing with the example of Smallco above, the trial balance as at 30 April 2016 prepared under previous UK GAAP is shown below:</w:t>
      </w:r>
    </w:p>
    <w:tbl>
      <w:tblPr>
        <w:tblW w:w="5000" w:type="pct"/>
        <w:tblLook w:val="04A0" w:firstRow="1" w:lastRow="0" w:firstColumn="1" w:lastColumn="0" w:noHBand="0" w:noVBand="1"/>
      </w:tblPr>
      <w:tblGrid>
        <w:gridCol w:w="1848"/>
        <w:gridCol w:w="1704"/>
        <w:gridCol w:w="1399"/>
        <w:gridCol w:w="1121"/>
        <w:gridCol w:w="1261"/>
        <w:gridCol w:w="1261"/>
        <w:gridCol w:w="1261"/>
      </w:tblGrid>
      <w:tr w:rsidR="007A52A3" w:rsidRPr="00214121" w14:paraId="21E9638C" w14:textId="77777777" w:rsidTr="00B9592E">
        <w:trPr>
          <w:trHeight w:val="300"/>
        </w:trPr>
        <w:tc>
          <w:tcPr>
            <w:tcW w:w="937" w:type="pct"/>
            <w:tcBorders>
              <w:top w:val="nil"/>
              <w:left w:val="nil"/>
              <w:bottom w:val="nil"/>
              <w:right w:val="nil"/>
            </w:tcBorders>
            <w:shd w:val="clear" w:color="auto" w:fill="auto"/>
            <w:noWrap/>
            <w:vAlign w:val="bottom"/>
            <w:hideMark/>
          </w:tcPr>
          <w:p w14:paraId="50BB9CB9" w14:textId="77777777" w:rsidR="007A52A3" w:rsidRPr="00214121" w:rsidRDefault="007A52A3" w:rsidP="00214121">
            <w:pPr>
              <w:rPr>
                <w:rFonts w:ascii="Arial" w:hAnsi="Arial"/>
                <w:b/>
                <w:bCs/>
                <w:color w:val="000000"/>
                <w:sz w:val="22"/>
                <w:szCs w:val="22"/>
                <w:lang w:val="en-US"/>
              </w:rPr>
            </w:pPr>
          </w:p>
          <w:p w14:paraId="487844BE" w14:textId="77777777" w:rsidR="007A52A3" w:rsidRPr="00214121" w:rsidRDefault="007A52A3" w:rsidP="00214121">
            <w:pPr>
              <w:rPr>
                <w:rFonts w:ascii="Arial" w:hAnsi="Arial"/>
                <w:b/>
                <w:bCs/>
                <w:color w:val="000000"/>
                <w:sz w:val="22"/>
                <w:szCs w:val="22"/>
                <w:lang w:val="en-US"/>
              </w:rPr>
            </w:pPr>
            <w:r w:rsidRPr="00214121">
              <w:rPr>
                <w:rFonts w:ascii="Arial" w:hAnsi="Arial"/>
                <w:b/>
                <w:bCs/>
                <w:color w:val="000000"/>
                <w:sz w:val="22"/>
                <w:szCs w:val="22"/>
                <w:lang w:val="en-US"/>
              </w:rPr>
              <w:t>Smallco Ltd</w:t>
            </w:r>
          </w:p>
        </w:tc>
        <w:tc>
          <w:tcPr>
            <w:tcW w:w="864" w:type="pct"/>
            <w:tcBorders>
              <w:top w:val="nil"/>
              <w:left w:val="nil"/>
              <w:bottom w:val="nil"/>
              <w:right w:val="nil"/>
            </w:tcBorders>
            <w:shd w:val="clear" w:color="auto" w:fill="auto"/>
            <w:noWrap/>
            <w:vAlign w:val="bottom"/>
            <w:hideMark/>
          </w:tcPr>
          <w:p w14:paraId="48F1F734" w14:textId="77777777" w:rsidR="007A52A3" w:rsidRPr="00214121" w:rsidRDefault="007A52A3" w:rsidP="00214121">
            <w:pPr>
              <w:rPr>
                <w:rFonts w:ascii="Arial" w:hAnsi="Arial"/>
                <w:b/>
                <w:bCs/>
                <w:color w:val="000000"/>
                <w:sz w:val="22"/>
                <w:szCs w:val="22"/>
                <w:lang w:val="en-US"/>
              </w:rPr>
            </w:pPr>
          </w:p>
        </w:tc>
        <w:tc>
          <w:tcPr>
            <w:tcW w:w="710" w:type="pct"/>
            <w:tcBorders>
              <w:top w:val="nil"/>
              <w:left w:val="nil"/>
              <w:bottom w:val="nil"/>
              <w:right w:val="nil"/>
            </w:tcBorders>
            <w:shd w:val="clear" w:color="auto" w:fill="auto"/>
            <w:noWrap/>
            <w:vAlign w:val="bottom"/>
            <w:hideMark/>
          </w:tcPr>
          <w:p w14:paraId="05A558FD" w14:textId="77777777" w:rsidR="007A52A3" w:rsidRPr="00214121" w:rsidRDefault="007A52A3" w:rsidP="00214121">
            <w:pPr>
              <w:rPr>
                <w:rFonts w:ascii="Arial" w:hAnsi="Arial"/>
                <w:sz w:val="22"/>
                <w:szCs w:val="22"/>
                <w:lang w:val="en-US"/>
              </w:rPr>
            </w:pPr>
          </w:p>
        </w:tc>
        <w:tc>
          <w:tcPr>
            <w:tcW w:w="569" w:type="pct"/>
            <w:tcBorders>
              <w:top w:val="nil"/>
              <w:left w:val="nil"/>
              <w:bottom w:val="nil"/>
              <w:right w:val="nil"/>
            </w:tcBorders>
            <w:shd w:val="clear" w:color="auto" w:fill="auto"/>
            <w:noWrap/>
            <w:vAlign w:val="bottom"/>
            <w:hideMark/>
          </w:tcPr>
          <w:p w14:paraId="3353A63F"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2B1D8B8A"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277F0001" w14:textId="77777777" w:rsidR="007A52A3" w:rsidRPr="00214121" w:rsidRDefault="007A52A3" w:rsidP="00214121">
            <w:pPr>
              <w:jc w:val="cente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4E2FFC28" w14:textId="77777777" w:rsidR="007A52A3" w:rsidRPr="00214121" w:rsidRDefault="007A52A3" w:rsidP="00214121">
            <w:pPr>
              <w:jc w:val="right"/>
              <w:rPr>
                <w:rFonts w:ascii="Arial" w:hAnsi="Arial"/>
                <w:sz w:val="22"/>
                <w:szCs w:val="22"/>
                <w:lang w:val="en-US"/>
              </w:rPr>
            </w:pPr>
          </w:p>
        </w:tc>
      </w:tr>
      <w:tr w:rsidR="007A52A3" w:rsidRPr="00214121" w14:paraId="54E24C0B" w14:textId="77777777" w:rsidTr="00214121">
        <w:trPr>
          <w:trHeight w:val="300"/>
        </w:trPr>
        <w:tc>
          <w:tcPr>
            <w:tcW w:w="1801" w:type="pct"/>
            <w:gridSpan w:val="2"/>
            <w:tcBorders>
              <w:top w:val="nil"/>
              <w:left w:val="nil"/>
              <w:right w:val="nil"/>
            </w:tcBorders>
            <w:shd w:val="clear" w:color="auto" w:fill="auto"/>
            <w:noWrap/>
            <w:vAlign w:val="bottom"/>
            <w:hideMark/>
          </w:tcPr>
          <w:p w14:paraId="119CC39C" w14:textId="77777777" w:rsidR="007A52A3" w:rsidRPr="00214121" w:rsidRDefault="007A52A3" w:rsidP="00214121">
            <w:pPr>
              <w:rPr>
                <w:rFonts w:ascii="Arial" w:hAnsi="Arial"/>
                <w:b/>
                <w:bCs/>
                <w:color w:val="000000"/>
                <w:sz w:val="22"/>
                <w:szCs w:val="22"/>
                <w:lang w:val="en-US"/>
              </w:rPr>
            </w:pPr>
            <w:r w:rsidRPr="00214121">
              <w:rPr>
                <w:rFonts w:ascii="Arial" w:hAnsi="Arial"/>
                <w:b/>
                <w:bCs/>
                <w:color w:val="000000"/>
                <w:sz w:val="22"/>
                <w:szCs w:val="22"/>
                <w:lang w:val="en-US"/>
              </w:rPr>
              <w:t xml:space="preserve">Trial balance as at 30 April 2016 </w:t>
            </w:r>
          </w:p>
        </w:tc>
        <w:tc>
          <w:tcPr>
            <w:tcW w:w="710" w:type="pct"/>
            <w:tcBorders>
              <w:top w:val="nil"/>
              <w:left w:val="nil"/>
              <w:right w:val="nil"/>
            </w:tcBorders>
            <w:shd w:val="clear" w:color="auto" w:fill="auto"/>
            <w:noWrap/>
            <w:vAlign w:val="bottom"/>
            <w:hideMark/>
          </w:tcPr>
          <w:p w14:paraId="4608F1AB" w14:textId="77777777" w:rsidR="007A52A3" w:rsidRPr="00214121" w:rsidRDefault="007A52A3" w:rsidP="00214121">
            <w:pPr>
              <w:rPr>
                <w:rFonts w:ascii="Arial" w:hAnsi="Arial"/>
                <w:b/>
                <w:bCs/>
                <w:color w:val="000000"/>
                <w:sz w:val="22"/>
                <w:szCs w:val="22"/>
                <w:lang w:val="en-US"/>
              </w:rPr>
            </w:pPr>
          </w:p>
        </w:tc>
        <w:tc>
          <w:tcPr>
            <w:tcW w:w="569" w:type="pct"/>
            <w:tcBorders>
              <w:top w:val="nil"/>
              <w:left w:val="nil"/>
              <w:right w:val="nil"/>
            </w:tcBorders>
            <w:shd w:val="clear" w:color="auto" w:fill="auto"/>
            <w:noWrap/>
            <w:vAlign w:val="bottom"/>
            <w:hideMark/>
          </w:tcPr>
          <w:p w14:paraId="602BF739" w14:textId="77777777" w:rsidR="007A52A3" w:rsidRPr="00214121" w:rsidRDefault="007A52A3" w:rsidP="00214121">
            <w:pPr>
              <w:rPr>
                <w:rFonts w:ascii="Arial" w:hAnsi="Arial"/>
                <w:sz w:val="22"/>
                <w:szCs w:val="22"/>
                <w:lang w:val="en-US"/>
              </w:rPr>
            </w:pPr>
          </w:p>
        </w:tc>
        <w:tc>
          <w:tcPr>
            <w:tcW w:w="640" w:type="pct"/>
            <w:tcBorders>
              <w:top w:val="nil"/>
              <w:left w:val="nil"/>
              <w:right w:val="nil"/>
            </w:tcBorders>
            <w:shd w:val="clear" w:color="auto" w:fill="auto"/>
            <w:noWrap/>
            <w:vAlign w:val="bottom"/>
            <w:hideMark/>
          </w:tcPr>
          <w:p w14:paraId="11B83833" w14:textId="77777777" w:rsidR="007A52A3" w:rsidRPr="00214121" w:rsidRDefault="007A52A3" w:rsidP="00214121">
            <w:pPr>
              <w:rPr>
                <w:rFonts w:ascii="Arial" w:hAnsi="Arial"/>
                <w:sz w:val="22"/>
                <w:szCs w:val="22"/>
                <w:lang w:val="en-US"/>
              </w:rPr>
            </w:pPr>
          </w:p>
        </w:tc>
        <w:tc>
          <w:tcPr>
            <w:tcW w:w="640" w:type="pct"/>
            <w:tcBorders>
              <w:top w:val="nil"/>
              <w:left w:val="nil"/>
              <w:right w:val="nil"/>
            </w:tcBorders>
            <w:shd w:val="clear" w:color="auto" w:fill="auto"/>
            <w:noWrap/>
            <w:vAlign w:val="bottom"/>
            <w:hideMark/>
          </w:tcPr>
          <w:p w14:paraId="6350C4FB" w14:textId="77777777" w:rsidR="007A52A3" w:rsidRPr="00214121" w:rsidRDefault="007A52A3" w:rsidP="00214121">
            <w:pPr>
              <w:jc w:val="center"/>
              <w:rPr>
                <w:rFonts w:ascii="Arial" w:hAnsi="Arial"/>
                <w:sz w:val="22"/>
                <w:szCs w:val="22"/>
                <w:lang w:val="en-US"/>
              </w:rPr>
            </w:pPr>
          </w:p>
        </w:tc>
        <w:tc>
          <w:tcPr>
            <w:tcW w:w="640" w:type="pct"/>
            <w:tcBorders>
              <w:top w:val="nil"/>
              <w:left w:val="nil"/>
              <w:right w:val="nil"/>
            </w:tcBorders>
            <w:shd w:val="clear" w:color="auto" w:fill="auto"/>
            <w:noWrap/>
            <w:vAlign w:val="bottom"/>
            <w:hideMark/>
          </w:tcPr>
          <w:p w14:paraId="2CA1C3D3" w14:textId="77777777" w:rsidR="007A52A3" w:rsidRPr="00214121" w:rsidRDefault="007A52A3" w:rsidP="00214121">
            <w:pPr>
              <w:jc w:val="right"/>
              <w:rPr>
                <w:rFonts w:ascii="Arial" w:hAnsi="Arial"/>
                <w:sz w:val="22"/>
                <w:szCs w:val="22"/>
                <w:lang w:val="en-US"/>
              </w:rPr>
            </w:pPr>
          </w:p>
        </w:tc>
      </w:tr>
      <w:tr w:rsidR="007A52A3" w:rsidRPr="00214121" w14:paraId="478DC81E" w14:textId="77777777" w:rsidTr="00214121">
        <w:trPr>
          <w:trHeight w:val="300"/>
        </w:trPr>
        <w:tc>
          <w:tcPr>
            <w:tcW w:w="937" w:type="pct"/>
            <w:tcBorders>
              <w:top w:val="nil"/>
              <w:left w:val="nil"/>
              <w:right w:val="nil"/>
            </w:tcBorders>
            <w:shd w:val="clear" w:color="auto" w:fill="auto"/>
            <w:noWrap/>
            <w:vAlign w:val="bottom"/>
            <w:hideMark/>
          </w:tcPr>
          <w:p w14:paraId="088C2C66" w14:textId="77777777" w:rsidR="007A52A3" w:rsidRPr="00214121" w:rsidRDefault="007A52A3" w:rsidP="00214121">
            <w:pPr>
              <w:jc w:val="right"/>
              <w:rPr>
                <w:rFonts w:ascii="Arial" w:hAnsi="Arial"/>
                <w:sz w:val="22"/>
                <w:szCs w:val="22"/>
                <w:lang w:val="en-US"/>
              </w:rPr>
            </w:pPr>
          </w:p>
        </w:tc>
        <w:tc>
          <w:tcPr>
            <w:tcW w:w="864" w:type="pct"/>
            <w:tcBorders>
              <w:top w:val="nil"/>
              <w:left w:val="nil"/>
              <w:right w:val="nil"/>
            </w:tcBorders>
            <w:shd w:val="clear" w:color="auto" w:fill="auto"/>
            <w:noWrap/>
            <w:vAlign w:val="bottom"/>
            <w:hideMark/>
          </w:tcPr>
          <w:p w14:paraId="048FF5D6" w14:textId="77777777" w:rsidR="007A52A3" w:rsidRPr="00214121" w:rsidRDefault="007A52A3" w:rsidP="00214121">
            <w:pPr>
              <w:rPr>
                <w:rFonts w:ascii="Arial" w:hAnsi="Arial"/>
                <w:sz w:val="22"/>
                <w:szCs w:val="22"/>
                <w:lang w:val="en-US"/>
              </w:rPr>
            </w:pPr>
          </w:p>
        </w:tc>
        <w:tc>
          <w:tcPr>
            <w:tcW w:w="710" w:type="pct"/>
            <w:tcBorders>
              <w:top w:val="nil"/>
              <w:left w:val="nil"/>
              <w:right w:val="nil"/>
            </w:tcBorders>
            <w:shd w:val="clear" w:color="auto" w:fill="auto"/>
            <w:noWrap/>
            <w:vAlign w:val="bottom"/>
            <w:hideMark/>
          </w:tcPr>
          <w:p w14:paraId="21D6CFBC" w14:textId="77777777" w:rsidR="007A52A3" w:rsidRPr="00214121" w:rsidRDefault="007A52A3" w:rsidP="00214121">
            <w:pPr>
              <w:rPr>
                <w:rFonts w:ascii="Arial" w:hAnsi="Arial"/>
                <w:sz w:val="22"/>
                <w:szCs w:val="22"/>
                <w:lang w:val="en-US"/>
              </w:rPr>
            </w:pPr>
          </w:p>
        </w:tc>
        <w:tc>
          <w:tcPr>
            <w:tcW w:w="569" w:type="pct"/>
            <w:tcBorders>
              <w:top w:val="nil"/>
              <w:left w:val="nil"/>
              <w:right w:val="nil"/>
            </w:tcBorders>
            <w:shd w:val="clear" w:color="auto" w:fill="auto"/>
            <w:noWrap/>
            <w:vAlign w:val="bottom"/>
            <w:hideMark/>
          </w:tcPr>
          <w:p w14:paraId="48EC3397" w14:textId="1E688380" w:rsidR="007A52A3" w:rsidRPr="00214121" w:rsidRDefault="00962E24" w:rsidP="00214121">
            <w:pPr>
              <w:jc w:val="right"/>
              <w:rPr>
                <w:rFonts w:ascii="Arial" w:hAnsi="Arial"/>
                <w:sz w:val="22"/>
                <w:szCs w:val="22"/>
                <w:lang w:val="en-US"/>
              </w:rPr>
            </w:pPr>
            <w:r>
              <w:rPr>
                <w:rFonts w:ascii="Arial" w:hAnsi="Arial"/>
                <w:sz w:val="22"/>
                <w:szCs w:val="22"/>
                <w:lang w:val="en-US"/>
              </w:rPr>
              <w:t xml:space="preserve">  </w:t>
            </w:r>
          </w:p>
        </w:tc>
        <w:tc>
          <w:tcPr>
            <w:tcW w:w="640" w:type="pct"/>
            <w:tcBorders>
              <w:top w:val="nil"/>
              <w:left w:val="nil"/>
              <w:right w:val="nil"/>
            </w:tcBorders>
            <w:shd w:val="clear" w:color="auto" w:fill="auto"/>
            <w:noWrap/>
            <w:vAlign w:val="bottom"/>
            <w:hideMark/>
          </w:tcPr>
          <w:p w14:paraId="28840EF5" w14:textId="5CED8086" w:rsidR="007A52A3" w:rsidRPr="00214121" w:rsidRDefault="00962E24" w:rsidP="00214121">
            <w:pPr>
              <w:jc w:val="center"/>
              <w:rPr>
                <w:rFonts w:ascii="Arial" w:hAnsi="Arial"/>
                <w:sz w:val="22"/>
                <w:szCs w:val="22"/>
                <w:lang w:val="en-US"/>
              </w:rPr>
            </w:pPr>
            <w:r>
              <w:rPr>
                <w:rFonts w:ascii="Arial" w:hAnsi="Arial"/>
                <w:sz w:val="22"/>
                <w:szCs w:val="22"/>
                <w:lang w:val="en-US"/>
              </w:rPr>
              <w:t>Note</w:t>
            </w:r>
          </w:p>
        </w:tc>
        <w:tc>
          <w:tcPr>
            <w:tcW w:w="640" w:type="pct"/>
            <w:tcBorders>
              <w:top w:val="nil"/>
              <w:left w:val="nil"/>
              <w:right w:val="nil"/>
            </w:tcBorders>
            <w:shd w:val="clear" w:color="auto" w:fill="auto"/>
            <w:noWrap/>
            <w:vAlign w:val="bottom"/>
            <w:hideMark/>
          </w:tcPr>
          <w:p w14:paraId="6D3EA471"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Dr</w:t>
            </w:r>
          </w:p>
        </w:tc>
        <w:tc>
          <w:tcPr>
            <w:tcW w:w="640" w:type="pct"/>
            <w:tcBorders>
              <w:top w:val="nil"/>
              <w:left w:val="nil"/>
              <w:right w:val="nil"/>
            </w:tcBorders>
            <w:shd w:val="clear" w:color="auto" w:fill="auto"/>
            <w:noWrap/>
            <w:vAlign w:val="bottom"/>
            <w:hideMark/>
          </w:tcPr>
          <w:p w14:paraId="17378248"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Cr</w:t>
            </w:r>
          </w:p>
        </w:tc>
      </w:tr>
      <w:tr w:rsidR="007A52A3" w:rsidRPr="00214121" w14:paraId="38B3D6C7" w14:textId="77777777" w:rsidTr="00214121">
        <w:trPr>
          <w:trHeight w:val="300"/>
        </w:trPr>
        <w:tc>
          <w:tcPr>
            <w:tcW w:w="1801" w:type="pct"/>
            <w:gridSpan w:val="2"/>
            <w:shd w:val="clear" w:color="auto" w:fill="auto"/>
            <w:noWrap/>
            <w:vAlign w:val="bottom"/>
          </w:tcPr>
          <w:p w14:paraId="2542F713" w14:textId="77777777" w:rsidR="007A52A3" w:rsidRPr="00214121" w:rsidRDefault="007A52A3" w:rsidP="00214121">
            <w:pPr>
              <w:rPr>
                <w:rFonts w:ascii="Arial" w:hAnsi="Arial"/>
                <w:color w:val="000000"/>
                <w:sz w:val="22"/>
                <w:szCs w:val="22"/>
                <w:lang w:val="en-US"/>
              </w:rPr>
            </w:pPr>
          </w:p>
        </w:tc>
        <w:tc>
          <w:tcPr>
            <w:tcW w:w="710" w:type="pct"/>
            <w:shd w:val="clear" w:color="auto" w:fill="auto"/>
            <w:noWrap/>
            <w:vAlign w:val="bottom"/>
          </w:tcPr>
          <w:p w14:paraId="150D5505" w14:textId="77777777" w:rsidR="007A52A3" w:rsidRPr="00214121" w:rsidRDefault="007A52A3" w:rsidP="00214121">
            <w:pPr>
              <w:rPr>
                <w:rFonts w:ascii="Arial" w:hAnsi="Arial"/>
                <w:color w:val="000000"/>
                <w:sz w:val="22"/>
                <w:szCs w:val="22"/>
                <w:lang w:val="en-US"/>
              </w:rPr>
            </w:pPr>
          </w:p>
        </w:tc>
        <w:tc>
          <w:tcPr>
            <w:tcW w:w="569" w:type="pct"/>
            <w:shd w:val="clear" w:color="auto" w:fill="auto"/>
            <w:noWrap/>
            <w:vAlign w:val="bottom"/>
          </w:tcPr>
          <w:p w14:paraId="3B834E60"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tcPr>
          <w:p w14:paraId="37627D23"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tcPr>
          <w:p w14:paraId="58676D66"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w:t>
            </w:r>
          </w:p>
        </w:tc>
        <w:tc>
          <w:tcPr>
            <w:tcW w:w="640" w:type="pct"/>
            <w:shd w:val="clear" w:color="auto" w:fill="auto"/>
            <w:noWrap/>
            <w:vAlign w:val="bottom"/>
          </w:tcPr>
          <w:p w14:paraId="12DCB90D"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w:t>
            </w:r>
          </w:p>
        </w:tc>
      </w:tr>
      <w:tr w:rsidR="007A52A3" w:rsidRPr="00214121" w14:paraId="79390B20" w14:textId="77777777" w:rsidTr="00214121">
        <w:trPr>
          <w:trHeight w:val="300"/>
        </w:trPr>
        <w:tc>
          <w:tcPr>
            <w:tcW w:w="1801" w:type="pct"/>
            <w:gridSpan w:val="2"/>
            <w:shd w:val="clear" w:color="auto" w:fill="auto"/>
            <w:noWrap/>
            <w:vAlign w:val="bottom"/>
            <w:hideMark/>
          </w:tcPr>
          <w:p w14:paraId="66436CD4"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Plant and machinery </w:t>
            </w:r>
          </w:p>
        </w:tc>
        <w:tc>
          <w:tcPr>
            <w:tcW w:w="710" w:type="pct"/>
            <w:shd w:val="clear" w:color="auto" w:fill="auto"/>
            <w:noWrap/>
            <w:vAlign w:val="bottom"/>
            <w:hideMark/>
          </w:tcPr>
          <w:p w14:paraId="43B2E75E" w14:textId="77777777" w:rsidR="007A52A3" w:rsidRPr="00214121" w:rsidRDefault="007A52A3" w:rsidP="00214121">
            <w:pPr>
              <w:rPr>
                <w:rFonts w:ascii="Arial" w:hAnsi="Arial"/>
                <w:color w:val="000000"/>
                <w:sz w:val="22"/>
                <w:szCs w:val="22"/>
                <w:lang w:val="en-US"/>
              </w:rPr>
            </w:pPr>
          </w:p>
        </w:tc>
        <w:tc>
          <w:tcPr>
            <w:tcW w:w="569" w:type="pct"/>
            <w:shd w:val="clear" w:color="auto" w:fill="auto"/>
            <w:noWrap/>
            <w:vAlign w:val="bottom"/>
            <w:hideMark/>
          </w:tcPr>
          <w:p w14:paraId="4162DFA2"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092A2591"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30EFEBBE"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104,801 </w:t>
            </w:r>
          </w:p>
        </w:tc>
        <w:tc>
          <w:tcPr>
            <w:tcW w:w="640" w:type="pct"/>
            <w:shd w:val="clear" w:color="auto" w:fill="auto"/>
            <w:noWrap/>
            <w:vAlign w:val="bottom"/>
            <w:hideMark/>
          </w:tcPr>
          <w:p w14:paraId="7F33971C" w14:textId="77777777" w:rsidR="007A52A3" w:rsidRPr="00214121" w:rsidRDefault="007A52A3" w:rsidP="00214121">
            <w:pPr>
              <w:jc w:val="right"/>
              <w:rPr>
                <w:rFonts w:ascii="Arial" w:hAnsi="Arial"/>
                <w:color w:val="000000"/>
                <w:sz w:val="22"/>
                <w:szCs w:val="22"/>
                <w:lang w:val="en-US"/>
              </w:rPr>
            </w:pPr>
          </w:p>
        </w:tc>
      </w:tr>
      <w:tr w:rsidR="007A52A3" w:rsidRPr="00214121" w14:paraId="6E63A5A6" w14:textId="77777777" w:rsidTr="00214121">
        <w:trPr>
          <w:trHeight w:val="300"/>
        </w:trPr>
        <w:tc>
          <w:tcPr>
            <w:tcW w:w="1801" w:type="pct"/>
            <w:gridSpan w:val="2"/>
            <w:shd w:val="clear" w:color="auto" w:fill="auto"/>
            <w:noWrap/>
            <w:vAlign w:val="bottom"/>
            <w:hideMark/>
          </w:tcPr>
          <w:p w14:paraId="1C6CB181"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Plant and machinery depreciation </w:t>
            </w:r>
          </w:p>
        </w:tc>
        <w:tc>
          <w:tcPr>
            <w:tcW w:w="710" w:type="pct"/>
            <w:shd w:val="clear" w:color="auto" w:fill="auto"/>
            <w:noWrap/>
            <w:vAlign w:val="bottom"/>
            <w:hideMark/>
          </w:tcPr>
          <w:p w14:paraId="10E2647A" w14:textId="77777777" w:rsidR="007A52A3" w:rsidRPr="00214121" w:rsidRDefault="007A52A3" w:rsidP="00214121">
            <w:pPr>
              <w:rPr>
                <w:rFonts w:ascii="Arial" w:hAnsi="Arial"/>
                <w:color w:val="000000"/>
                <w:sz w:val="22"/>
                <w:szCs w:val="22"/>
                <w:lang w:val="en-US"/>
              </w:rPr>
            </w:pPr>
          </w:p>
        </w:tc>
        <w:tc>
          <w:tcPr>
            <w:tcW w:w="569" w:type="pct"/>
            <w:shd w:val="clear" w:color="auto" w:fill="auto"/>
            <w:noWrap/>
            <w:vAlign w:val="bottom"/>
            <w:hideMark/>
          </w:tcPr>
          <w:p w14:paraId="58356227"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13035719"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02312743" w14:textId="77777777" w:rsidR="007A52A3" w:rsidRPr="00214121" w:rsidRDefault="007A52A3" w:rsidP="00214121">
            <w:pPr>
              <w:jc w:val="center"/>
              <w:rPr>
                <w:rFonts w:ascii="Arial" w:hAnsi="Arial"/>
                <w:sz w:val="22"/>
                <w:szCs w:val="22"/>
                <w:lang w:val="en-US"/>
              </w:rPr>
            </w:pPr>
          </w:p>
        </w:tc>
        <w:tc>
          <w:tcPr>
            <w:tcW w:w="640" w:type="pct"/>
            <w:shd w:val="clear" w:color="auto" w:fill="auto"/>
            <w:noWrap/>
            <w:vAlign w:val="bottom"/>
            <w:hideMark/>
          </w:tcPr>
          <w:p w14:paraId="32BBEC43"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52,395 </w:t>
            </w:r>
          </w:p>
        </w:tc>
      </w:tr>
      <w:tr w:rsidR="007A52A3" w:rsidRPr="00214121" w14:paraId="37A4AF1C" w14:textId="77777777" w:rsidTr="00214121">
        <w:trPr>
          <w:trHeight w:val="300"/>
        </w:trPr>
        <w:tc>
          <w:tcPr>
            <w:tcW w:w="1801" w:type="pct"/>
            <w:gridSpan w:val="2"/>
            <w:shd w:val="clear" w:color="auto" w:fill="auto"/>
            <w:noWrap/>
            <w:vAlign w:val="bottom"/>
            <w:hideMark/>
          </w:tcPr>
          <w:p w14:paraId="7FD6C3F1"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Fixtures and fittings </w:t>
            </w:r>
          </w:p>
        </w:tc>
        <w:tc>
          <w:tcPr>
            <w:tcW w:w="710" w:type="pct"/>
            <w:shd w:val="clear" w:color="auto" w:fill="auto"/>
            <w:noWrap/>
            <w:vAlign w:val="bottom"/>
            <w:hideMark/>
          </w:tcPr>
          <w:p w14:paraId="6D27F174" w14:textId="77777777" w:rsidR="007A52A3" w:rsidRPr="00214121" w:rsidRDefault="007A52A3" w:rsidP="00214121">
            <w:pPr>
              <w:rPr>
                <w:rFonts w:ascii="Arial" w:hAnsi="Arial"/>
                <w:color w:val="000000"/>
                <w:sz w:val="22"/>
                <w:szCs w:val="22"/>
                <w:lang w:val="en-US"/>
              </w:rPr>
            </w:pPr>
          </w:p>
        </w:tc>
        <w:tc>
          <w:tcPr>
            <w:tcW w:w="569" w:type="pct"/>
            <w:shd w:val="clear" w:color="auto" w:fill="auto"/>
            <w:noWrap/>
            <w:vAlign w:val="bottom"/>
            <w:hideMark/>
          </w:tcPr>
          <w:p w14:paraId="3066E78D"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76CDE22A"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536A4C35"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308,987 </w:t>
            </w:r>
          </w:p>
        </w:tc>
        <w:tc>
          <w:tcPr>
            <w:tcW w:w="640" w:type="pct"/>
            <w:shd w:val="clear" w:color="auto" w:fill="auto"/>
            <w:noWrap/>
            <w:vAlign w:val="bottom"/>
            <w:hideMark/>
          </w:tcPr>
          <w:p w14:paraId="2FFA7D46" w14:textId="77777777" w:rsidR="007A52A3" w:rsidRPr="00214121" w:rsidRDefault="007A52A3" w:rsidP="00214121">
            <w:pPr>
              <w:jc w:val="right"/>
              <w:rPr>
                <w:rFonts w:ascii="Arial" w:hAnsi="Arial"/>
                <w:color w:val="000000"/>
                <w:sz w:val="22"/>
                <w:szCs w:val="22"/>
                <w:lang w:val="en-US"/>
              </w:rPr>
            </w:pPr>
          </w:p>
        </w:tc>
      </w:tr>
      <w:tr w:rsidR="007A52A3" w:rsidRPr="00214121" w14:paraId="4C438EAD" w14:textId="77777777" w:rsidTr="00214121">
        <w:trPr>
          <w:trHeight w:val="300"/>
        </w:trPr>
        <w:tc>
          <w:tcPr>
            <w:tcW w:w="1801" w:type="pct"/>
            <w:gridSpan w:val="2"/>
            <w:shd w:val="clear" w:color="auto" w:fill="auto"/>
            <w:noWrap/>
            <w:vAlign w:val="bottom"/>
            <w:hideMark/>
          </w:tcPr>
          <w:p w14:paraId="43DEA65B"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Fixtures and fittings depreciation </w:t>
            </w:r>
          </w:p>
        </w:tc>
        <w:tc>
          <w:tcPr>
            <w:tcW w:w="710" w:type="pct"/>
            <w:shd w:val="clear" w:color="auto" w:fill="auto"/>
            <w:noWrap/>
            <w:vAlign w:val="bottom"/>
            <w:hideMark/>
          </w:tcPr>
          <w:p w14:paraId="4FA0BB16" w14:textId="77777777" w:rsidR="007A52A3" w:rsidRPr="00214121" w:rsidRDefault="007A52A3" w:rsidP="00214121">
            <w:pPr>
              <w:rPr>
                <w:rFonts w:ascii="Arial" w:hAnsi="Arial"/>
                <w:color w:val="000000"/>
                <w:sz w:val="22"/>
                <w:szCs w:val="22"/>
                <w:lang w:val="en-US"/>
              </w:rPr>
            </w:pPr>
          </w:p>
        </w:tc>
        <w:tc>
          <w:tcPr>
            <w:tcW w:w="569" w:type="pct"/>
            <w:shd w:val="clear" w:color="auto" w:fill="auto"/>
            <w:noWrap/>
            <w:vAlign w:val="bottom"/>
            <w:hideMark/>
          </w:tcPr>
          <w:p w14:paraId="64362683"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0C706289"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4E80C74F" w14:textId="77777777" w:rsidR="007A52A3" w:rsidRPr="00214121" w:rsidRDefault="007A52A3" w:rsidP="00214121">
            <w:pPr>
              <w:jc w:val="center"/>
              <w:rPr>
                <w:rFonts w:ascii="Arial" w:hAnsi="Arial"/>
                <w:sz w:val="22"/>
                <w:szCs w:val="22"/>
                <w:lang w:val="en-US"/>
              </w:rPr>
            </w:pPr>
          </w:p>
        </w:tc>
        <w:tc>
          <w:tcPr>
            <w:tcW w:w="640" w:type="pct"/>
            <w:shd w:val="clear" w:color="auto" w:fill="auto"/>
            <w:noWrap/>
            <w:vAlign w:val="bottom"/>
            <w:hideMark/>
          </w:tcPr>
          <w:p w14:paraId="3D6AFB9D"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235,851 </w:t>
            </w:r>
          </w:p>
        </w:tc>
      </w:tr>
      <w:tr w:rsidR="007A52A3" w:rsidRPr="00214121" w14:paraId="022CB5E8" w14:textId="77777777" w:rsidTr="00214121">
        <w:trPr>
          <w:trHeight w:val="300"/>
        </w:trPr>
        <w:tc>
          <w:tcPr>
            <w:tcW w:w="1801" w:type="pct"/>
            <w:gridSpan w:val="2"/>
            <w:shd w:val="clear" w:color="auto" w:fill="auto"/>
            <w:noWrap/>
            <w:vAlign w:val="bottom"/>
            <w:hideMark/>
          </w:tcPr>
          <w:p w14:paraId="56C5581D"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Investment property </w:t>
            </w:r>
          </w:p>
        </w:tc>
        <w:tc>
          <w:tcPr>
            <w:tcW w:w="710" w:type="pct"/>
            <w:shd w:val="clear" w:color="auto" w:fill="auto"/>
            <w:noWrap/>
            <w:vAlign w:val="bottom"/>
            <w:hideMark/>
          </w:tcPr>
          <w:p w14:paraId="6BD2457F" w14:textId="77777777" w:rsidR="007A52A3" w:rsidRPr="00214121" w:rsidRDefault="007A52A3" w:rsidP="00214121">
            <w:pPr>
              <w:rPr>
                <w:rFonts w:ascii="Arial" w:hAnsi="Arial"/>
                <w:color w:val="000000"/>
                <w:sz w:val="22"/>
                <w:szCs w:val="22"/>
                <w:lang w:val="en-US"/>
              </w:rPr>
            </w:pPr>
          </w:p>
        </w:tc>
        <w:tc>
          <w:tcPr>
            <w:tcW w:w="569" w:type="pct"/>
            <w:shd w:val="clear" w:color="auto" w:fill="auto"/>
            <w:noWrap/>
            <w:vAlign w:val="bottom"/>
            <w:hideMark/>
          </w:tcPr>
          <w:p w14:paraId="7CC107BA" w14:textId="5B1D25AA" w:rsidR="007A52A3" w:rsidRPr="00214121" w:rsidRDefault="007A52A3" w:rsidP="00214121">
            <w:pPr>
              <w:jc w:val="center"/>
              <w:rPr>
                <w:rFonts w:ascii="Arial" w:hAnsi="Arial"/>
                <w:sz w:val="22"/>
                <w:szCs w:val="22"/>
                <w:lang w:val="en-US"/>
              </w:rPr>
            </w:pPr>
            <w:r w:rsidRPr="00214121">
              <w:rPr>
                <w:rFonts w:ascii="Arial" w:hAnsi="Arial"/>
                <w:sz w:val="22"/>
                <w:szCs w:val="22"/>
                <w:lang w:val="en-US"/>
              </w:rPr>
              <w:t xml:space="preserve">     </w:t>
            </w:r>
          </w:p>
        </w:tc>
        <w:tc>
          <w:tcPr>
            <w:tcW w:w="640" w:type="pct"/>
            <w:shd w:val="clear" w:color="auto" w:fill="auto"/>
            <w:noWrap/>
            <w:vAlign w:val="bottom"/>
            <w:hideMark/>
          </w:tcPr>
          <w:p w14:paraId="14526EAC" w14:textId="2A8991C7" w:rsidR="007A52A3" w:rsidRPr="00214121" w:rsidRDefault="00962E24" w:rsidP="00214121">
            <w:pPr>
              <w:jc w:val="center"/>
              <w:rPr>
                <w:rFonts w:ascii="Arial" w:hAnsi="Arial"/>
                <w:sz w:val="22"/>
                <w:szCs w:val="22"/>
                <w:lang w:val="en-US"/>
              </w:rPr>
            </w:pPr>
            <w:r>
              <w:rPr>
                <w:rFonts w:ascii="Arial" w:hAnsi="Arial"/>
                <w:sz w:val="22"/>
                <w:szCs w:val="22"/>
                <w:lang w:val="en-US"/>
              </w:rPr>
              <w:t>1</w:t>
            </w:r>
          </w:p>
        </w:tc>
        <w:tc>
          <w:tcPr>
            <w:tcW w:w="640" w:type="pct"/>
            <w:shd w:val="clear" w:color="auto" w:fill="auto"/>
            <w:noWrap/>
            <w:vAlign w:val="bottom"/>
            <w:hideMark/>
          </w:tcPr>
          <w:p w14:paraId="396C78F4"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226,650 </w:t>
            </w:r>
          </w:p>
        </w:tc>
        <w:tc>
          <w:tcPr>
            <w:tcW w:w="640" w:type="pct"/>
            <w:shd w:val="clear" w:color="auto" w:fill="auto"/>
            <w:noWrap/>
            <w:vAlign w:val="bottom"/>
            <w:hideMark/>
          </w:tcPr>
          <w:p w14:paraId="1168F286" w14:textId="77777777" w:rsidR="007A52A3" w:rsidRPr="00214121" w:rsidRDefault="007A52A3" w:rsidP="00214121">
            <w:pPr>
              <w:jc w:val="right"/>
              <w:rPr>
                <w:rFonts w:ascii="Arial" w:hAnsi="Arial"/>
                <w:color w:val="000000"/>
                <w:sz w:val="22"/>
                <w:szCs w:val="22"/>
                <w:lang w:val="en-US"/>
              </w:rPr>
            </w:pPr>
          </w:p>
        </w:tc>
      </w:tr>
      <w:tr w:rsidR="007A52A3" w:rsidRPr="00214121" w14:paraId="139E94A0" w14:textId="77777777" w:rsidTr="00214121">
        <w:trPr>
          <w:trHeight w:val="300"/>
        </w:trPr>
        <w:tc>
          <w:tcPr>
            <w:tcW w:w="937" w:type="pct"/>
            <w:shd w:val="clear" w:color="auto" w:fill="auto"/>
            <w:noWrap/>
            <w:vAlign w:val="bottom"/>
            <w:hideMark/>
          </w:tcPr>
          <w:p w14:paraId="084B33BE"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Stock </w:t>
            </w:r>
          </w:p>
        </w:tc>
        <w:tc>
          <w:tcPr>
            <w:tcW w:w="864" w:type="pct"/>
            <w:shd w:val="clear" w:color="auto" w:fill="auto"/>
            <w:noWrap/>
            <w:vAlign w:val="bottom"/>
            <w:hideMark/>
          </w:tcPr>
          <w:p w14:paraId="480CA4D1" w14:textId="77777777" w:rsidR="007A52A3" w:rsidRPr="00214121" w:rsidRDefault="007A52A3" w:rsidP="00214121">
            <w:pPr>
              <w:rPr>
                <w:rFonts w:ascii="Arial" w:hAnsi="Arial"/>
                <w:color w:val="000000"/>
                <w:sz w:val="22"/>
                <w:szCs w:val="22"/>
                <w:lang w:val="en-US"/>
              </w:rPr>
            </w:pPr>
          </w:p>
        </w:tc>
        <w:tc>
          <w:tcPr>
            <w:tcW w:w="710" w:type="pct"/>
            <w:shd w:val="clear" w:color="auto" w:fill="auto"/>
            <w:noWrap/>
            <w:vAlign w:val="bottom"/>
            <w:hideMark/>
          </w:tcPr>
          <w:p w14:paraId="281BB784" w14:textId="77777777" w:rsidR="007A52A3" w:rsidRPr="00214121" w:rsidRDefault="007A52A3" w:rsidP="00214121">
            <w:pPr>
              <w:rPr>
                <w:rFonts w:ascii="Arial" w:hAnsi="Arial"/>
                <w:sz w:val="22"/>
                <w:szCs w:val="22"/>
                <w:lang w:val="en-US"/>
              </w:rPr>
            </w:pPr>
          </w:p>
        </w:tc>
        <w:tc>
          <w:tcPr>
            <w:tcW w:w="569" w:type="pct"/>
            <w:shd w:val="clear" w:color="auto" w:fill="auto"/>
            <w:noWrap/>
            <w:vAlign w:val="bottom"/>
            <w:hideMark/>
          </w:tcPr>
          <w:p w14:paraId="4A5C0617"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4762709B"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2686B264"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13,002 </w:t>
            </w:r>
          </w:p>
        </w:tc>
        <w:tc>
          <w:tcPr>
            <w:tcW w:w="640" w:type="pct"/>
            <w:shd w:val="clear" w:color="auto" w:fill="auto"/>
            <w:noWrap/>
            <w:vAlign w:val="bottom"/>
            <w:hideMark/>
          </w:tcPr>
          <w:p w14:paraId="18767621" w14:textId="77777777" w:rsidR="007A52A3" w:rsidRPr="00214121" w:rsidRDefault="007A52A3" w:rsidP="00214121">
            <w:pPr>
              <w:jc w:val="right"/>
              <w:rPr>
                <w:rFonts w:ascii="Arial" w:hAnsi="Arial"/>
                <w:color w:val="000000"/>
                <w:sz w:val="22"/>
                <w:szCs w:val="22"/>
                <w:lang w:val="en-US"/>
              </w:rPr>
            </w:pPr>
          </w:p>
        </w:tc>
      </w:tr>
      <w:tr w:rsidR="007A52A3" w:rsidRPr="00214121" w14:paraId="6C2069F7" w14:textId="77777777" w:rsidTr="00214121">
        <w:trPr>
          <w:trHeight w:val="300"/>
        </w:trPr>
        <w:tc>
          <w:tcPr>
            <w:tcW w:w="937" w:type="pct"/>
            <w:shd w:val="clear" w:color="auto" w:fill="auto"/>
            <w:noWrap/>
            <w:vAlign w:val="bottom"/>
            <w:hideMark/>
          </w:tcPr>
          <w:p w14:paraId="45B88049"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Trade debtors </w:t>
            </w:r>
          </w:p>
        </w:tc>
        <w:tc>
          <w:tcPr>
            <w:tcW w:w="864" w:type="pct"/>
            <w:shd w:val="clear" w:color="auto" w:fill="auto"/>
            <w:noWrap/>
            <w:vAlign w:val="bottom"/>
            <w:hideMark/>
          </w:tcPr>
          <w:p w14:paraId="521E5945" w14:textId="77777777" w:rsidR="007A52A3" w:rsidRPr="00214121" w:rsidRDefault="007A52A3" w:rsidP="00214121">
            <w:pPr>
              <w:rPr>
                <w:rFonts w:ascii="Arial" w:hAnsi="Arial"/>
                <w:color w:val="000000"/>
                <w:sz w:val="22"/>
                <w:szCs w:val="22"/>
                <w:lang w:val="en-US"/>
              </w:rPr>
            </w:pPr>
          </w:p>
        </w:tc>
        <w:tc>
          <w:tcPr>
            <w:tcW w:w="710" w:type="pct"/>
            <w:shd w:val="clear" w:color="auto" w:fill="auto"/>
            <w:noWrap/>
            <w:vAlign w:val="bottom"/>
            <w:hideMark/>
          </w:tcPr>
          <w:p w14:paraId="7153835B" w14:textId="77777777" w:rsidR="007A52A3" w:rsidRPr="00214121" w:rsidRDefault="007A52A3" w:rsidP="00214121">
            <w:pPr>
              <w:rPr>
                <w:rFonts w:ascii="Arial" w:hAnsi="Arial"/>
                <w:sz w:val="22"/>
                <w:szCs w:val="22"/>
                <w:lang w:val="en-US"/>
              </w:rPr>
            </w:pPr>
          </w:p>
        </w:tc>
        <w:tc>
          <w:tcPr>
            <w:tcW w:w="569" w:type="pct"/>
            <w:shd w:val="clear" w:color="auto" w:fill="auto"/>
            <w:noWrap/>
            <w:vAlign w:val="bottom"/>
            <w:hideMark/>
          </w:tcPr>
          <w:p w14:paraId="2BE32B5A"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4502E7BF"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1B81723D"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632,114 </w:t>
            </w:r>
          </w:p>
        </w:tc>
        <w:tc>
          <w:tcPr>
            <w:tcW w:w="640" w:type="pct"/>
            <w:shd w:val="clear" w:color="auto" w:fill="auto"/>
            <w:noWrap/>
            <w:vAlign w:val="bottom"/>
            <w:hideMark/>
          </w:tcPr>
          <w:p w14:paraId="50085E8F" w14:textId="77777777" w:rsidR="007A52A3" w:rsidRPr="00214121" w:rsidRDefault="007A52A3" w:rsidP="00214121">
            <w:pPr>
              <w:jc w:val="right"/>
              <w:rPr>
                <w:rFonts w:ascii="Arial" w:hAnsi="Arial"/>
                <w:color w:val="000000"/>
                <w:sz w:val="22"/>
                <w:szCs w:val="22"/>
                <w:lang w:val="en-US"/>
              </w:rPr>
            </w:pPr>
          </w:p>
        </w:tc>
      </w:tr>
      <w:tr w:rsidR="007A52A3" w:rsidRPr="00214121" w14:paraId="0CDF38EF" w14:textId="77777777" w:rsidTr="00214121">
        <w:trPr>
          <w:trHeight w:val="300"/>
        </w:trPr>
        <w:tc>
          <w:tcPr>
            <w:tcW w:w="937" w:type="pct"/>
            <w:shd w:val="clear" w:color="auto" w:fill="auto"/>
            <w:noWrap/>
            <w:vAlign w:val="bottom"/>
            <w:hideMark/>
          </w:tcPr>
          <w:p w14:paraId="328E16A7"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Prepayments </w:t>
            </w:r>
          </w:p>
        </w:tc>
        <w:tc>
          <w:tcPr>
            <w:tcW w:w="864" w:type="pct"/>
            <w:shd w:val="clear" w:color="auto" w:fill="auto"/>
            <w:noWrap/>
            <w:vAlign w:val="bottom"/>
            <w:hideMark/>
          </w:tcPr>
          <w:p w14:paraId="1007CA21" w14:textId="77777777" w:rsidR="007A52A3" w:rsidRPr="00214121" w:rsidRDefault="007A52A3" w:rsidP="00214121">
            <w:pPr>
              <w:rPr>
                <w:rFonts w:ascii="Arial" w:hAnsi="Arial"/>
                <w:color w:val="000000"/>
                <w:sz w:val="22"/>
                <w:szCs w:val="22"/>
                <w:lang w:val="en-US"/>
              </w:rPr>
            </w:pPr>
          </w:p>
        </w:tc>
        <w:tc>
          <w:tcPr>
            <w:tcW w:w="710" w:type="pct"/>
            <w:shd w:val="clear" w:color="auto" w:fill="auto"/>
            <w:noWrap/>
            <w:vAlign w:val="bottom"/>
            <w:hideMark/>
          </w:tcPr>
          <w:p w14:paraId="15E21614" w14:textId="77777777" w:rsidR="007A52A3" w:rsidRPr="00214121" w:rsidRDefault="007A52A3" w:rsidP="00214121">
            <w:pPr>
              <w:rPr>
                <w:rFonts w:ascii="Arial" w:hAnsi="Arial"/>
                <w:sz w:val="22"/>
                <w:szCs w:val="22"/>
                <w:lang w:val="en-US"/>
              </w:rPr>
            </w:pPr>
          </w:p>
        </w:tc>
        <w:tc>
          <w:tcPr>
            <w:tcW w:w="569" w:type="pct"/>
            <w:shd w:val="clear" w:color="auto" w:fill="auto"/>
            <w:noWrap/>
            <w:vAlign w:val="bottom"/>
            <w:hideMark/>
          </w:tcPr>
          <w:p w14:paraId="1D75B8B0"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483AECFD"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17A27077"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15,649 </w:t>
            </w:r>
          </w:p>
        </w:tc>
        <w:tc>
          <w:tcPr>
            <w:tcW w:w="640" w:type="pct"/>
            <w:shd w:val="clear" w:color="auto" w:fill="auto"/>
            <w:noWrap/>
            <w:vAlign w:val="bottom"/>
            <w:hideMark/>
          </w:tcPr>
          <w:p w14:paraId="4DC154CE" w14:textId="77777777" w:rsidR="007A52A3" w:rsidRPr="00214121" w:rsidRDefault="007A52A3" w:rsidP="00214121">
            <w:pPr>
              <w:jc w:val="right"/>
              <w:rPr>
                <w:rFonts w:ascii="Arial" w:hAnsi="Arial"/>
                <w:color w:val="000000"/>
                <w:sz w:val="22"/>
                <w:szCs w:val="22"/>
                <w:lang w:val="en-US"/>
              </w:rPr>
            </w:pPr>
          </w:p>
        </w:tc>
      </w:tr>
      <w:tr w:rsidR="007A52A3" w:rsidRPr="00214121" w14:paraId="26C2DD4A" w14:textId="77777777" w:rsidTr="00214121">
        <w:trPr>
          <w:trHeight w:val="300"/>
        </w:trPr>
        <w:tc>
          <w:tcPr>
            <w:tcW w:w="2511" w:type="pct"/>
            <w:gridSpan w:val="3"/>
            <w:shd w:val="clear" w:color="auto" w:fill="auto"/>
            <w:noWrap/>
            <w:vAlign w:val="bottom"/>
            <w:hideMark/>
          </w:tcPr>
          <w:p w14:paraId="6A97D0FC"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Interest-free loan to subsidiary company </w:t>
            </w:r>
          </w:p>
        </w:tc>
        <w:tc>
          <w:tcPr>
            <w:tcW w:w="569" w:type="pct"/>
            <w:shd w:val="clear" w:color="auto" w:fill="auto"/>
            <w:noWrap/>
            <w:vAlign w:val="bottom"/>
            <w:hideMark/>
          </w:tcPr>
          <w:p w14:paraId="5D393B2C" w14:textId="2987D5AD"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      </w:t>
            </w:r>
          </w:p>
        </w:tc>
        <w:tc>
          <w:tcPr>
            <w:tcW w:w="640" w:type="pct"/>
            <w:shd w:val="clear" w:color="auto" w:fill="auto"/>
            <w:noWrap/>
            <w:vAlign w:val="bottom"/>
            <w:hideMark/>
          </w:tcPr>
          <w:p w14:paraId="779FE8D6" w14:textId="7AAA55AF" w:rsidR="007A52A3" w:rsidRPr="00214121" w:rsidRDefault="00962E24" w:rsidP="00214121">
            <w:pPr>
              <w:jc w:val="center"/>
              <w:rPr>
                <w:rFonts w:ascii="Arial" w:hAnsi="Arial"/>
                <w:sz w:val="22"/>
                <w:szCs w:val="22"/>
                <w:lang w:val="en-US"/>
              </w:rPr>
            </w:pPr>
            <w:r>
              <w:rPr>
                <w:rFonts w:ascii="Arial" w:hAnsi="Arial"/>
                <w:sz w:val="22"/>
                <w:szCs w:val="22"/>
                <w:lang w:val="en-US"/>
              </w:rPr>
              <w:t>2</w:t>
            </w:r>
          </w:p>
        </w:tc>
        <w:tc>
          <w:tcPr>
            <w:tcW w:w="640" w:type="pct"/>
            <w:shd w:val="clear" w:color="auto" w:fill="auto"/>
            <w:noWrap/>
            <w:vAlign w:val="bottom"/>
            <w:hideMark/>
          </w:tcPr>
          <w:p w14:paraId="4CB4627C"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15,000 </w:t>
            </w:r>
          </w:p>
        </w:tc>
        <w:tc>
          <w:tcPr>
            <w:tcW w:w="640" w:type="pct"/>
            <w:shd w:val="clear" w:color="auto" w:fill="auto"/>
            <w:noWrap/>
            <w:vAlign w:val="bottom"/>
            <w:hideMark/>
          </w:tcPr>
          <w:p w14:paraId="3F331BEB" w14:textId="77777777" w:rsidR="007A52A3" w:rsidRPr="00214121" w:rsidRDefault="007A52A3" w:rsidP="00214121">
            <w:pPr>
              <w:jc w:val="right"/>
              <w:rPr>
                <w:rFonts w:ascii="Arial" w:hAnsi="Arial"/>
                <w:color w:val="000000"/>
                <w:sz w:val="22"/>
                <w:szCs w:val="22"/>
                <w:lang w:val="en-US"/>
              </w:rPr>
            </w:pPr>
          </w:p>
        </w:tc>
      </w:tr>
      <w:tr w:rsidR="007A52A3" w:rsidRPr="00214121" w14:paraId="7CB9E3FB" w14:textId="77777777" w:rsidTr="00214121">
        <w:trPr>
          <w:trHeight w:val="300"/>
        </w:trPr>
        <w:tc>
          <w:tcPr>
            <w:tcW w:w="1801" w:type="pct"/>
            <w:gridSpan w:val="2"/>
            <w:shd w:val="clear" w:color="auto" w:fill="auto"/>
            <w:noWrap/>
            <w:vAlign w:val="bottom"/>
            <w:hideMark/>
          </w:tcPr>
          <w:p w14:paraId="1CB02E56"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Cash at bank and in hand </w:t>
            </w:r>
          </w:p>
        </w:tc>
        <w:tc>
          <w:tcPr>
            <w:tcW w:w="710" w:type="pct"/>
            <w:shd w:val="clear" w:color="auto" w:fill="auto"/>
            <w:noWrap/>
            <w:vAlign w:val="bottom"/>
            <w:hideMark/>
          </w:tcPr>
          <w:p w14:paraId="2DEE538A" w14:textId="77777777" w:rsidR="007A52A3" w:rsidRPr="00214121" w:rsidRDefault="007A52A3" w:rsidP="00214121">
            <w:pPr>
              <w:rPr>
                <w:rFonts w:ascii="Arial" w:hAnsi="Arial"/>
                <w:color w:val="000000"/>
                <w:sz w:val="22"/>
                <w:szCs w:val="22"/>
                <w:lang w:val="en-US"/>
              </w:rPr>
            </w:pPr>
          </w:p>
        </w:tc>
        <w:tc>
          <w:tcPr>
            <w:tcW w:w="569" w:type="pct"/>
            <w:shd w:val="clear" w:color="auto" w:fill="auto"/>
            <w:noWrap/>
            <w:vAlign w:val="bottom"/>
            <w:hideMark/>
          </w:tcPr>
          <w:p w14:paraId="2B0794C0"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5CE24564"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6F8CFDA5"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1,861,332 </w:t>
            </w:r>
          </w:p>
        </w:tc>
        <w:tc>
          <w:tcPr>
            <w:tcW w:w="640" w:type="pct"/>
            <w:shd w:val="clear" w:color="auto" w:fill="auto"/>
            <w:noWrap/>
            <w:vAlign w:val="bottom"/>
            <w:hideMark/>
          </w:tcPr>
          <w:p w14:paraId="0EEB8780" w14:textId="77777777" w:rsidR="007A52A3" w:rsidRPr="00214121" w:rsidRDefault="007A52A3" w:rsidP="00214121">
            <w:pPr>
              <w:jc w:val="right"/>
              <w:rPr>
                <w:rFonts w:ascii="Arial" w:hAnsi="Arial"/>
                <w:color w:val="000000"/>
                <w:sz w:val="22"/>
                <w:szCs w:val="22"/>
                <w:lang w:val="en-US"/>
              </w:rPr>
            </w:pPr>
          </w:p>
        </w:tc>
      </w:tr>
      <w:tr w:rsidR="007A52A3" w:rsidRPr="00214121" w14:paraId="124A7ED2" w14:textId="77777777" w:rsidTr="00214121">
        <w:trPr>
          <w:trHeight w:val="300"/>
        </w:trPr>
        <w:tc>
          <w:tcPr>
            <w:tcW w:w="937" w:type="pct"/>
            <w:shd w:val="clear" w:color="auto" w:fill="auto"/>
            <w:noWrap/>
            <w:vAlign w:val="bottom"/>
            <w:hideMark/>
          </w:tcPr>
          <w:p w14:paraId="026C1404"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Trade creditors </w:t>
            </w:r>
          </w:p>
        </w:tc>
        <w:tc>
          <w:tcPr>
            <w:tcW w:w="864" w:type="pct"/>
            <w:shd w:val="clear" w:color="auto" w:fill="auto"/>
            <w:noWrap/>
            <w:vAlign w:val="bottom"/>
            <w:hideMark/>
          </w:tcPr>
          <w:p w14:paraId="07488C70" w14:textId="77777777" w:rsidR="007A52A3" w:rsidRPr="00214121" w:rsidRDefault="007A52A3" w:rsidP="00214121">
            <w:pPr>
              <w:rPr>
                <w:rFonts w:ascii="Arial" w:hAnsi="Arial"/>
                <w:color w:val="000000"/>
                <w:sz w:val="22"/>
                <w:szCs w:val="22"/>
                <w:lang w:val="en-US"/>
              </w:rPr>
            </w:pPr>
          </w:p>
        </w:tc>
        <w:tc>
          <w:tcPr>
            <w:tcW w:w="710" w:type="pct"/>
            <w:shd w:val="clear" w:color="auto" w:fill="auto"/>
            <w:noWrap/>
            <w:vAlign w:val="bottom"/>
            <w:hideMark/>
          </w:tcPr>
          <w:p w14:paraId="054053E6" w14:textId="77777777" w:rsidR="007A52A3" w:rsidRPr="00214121" w:rsidRDefault="007A52A3" w:rsidP="00214121">
            <w:pPr>
              <w:rPr>
                <w:rFonts w:ascii="Arial" w:hAnsi="Arial"/>
                <w:sz w:val="22"/>
                <w:szCs w:val="22"/>
                <w:lang w:val="en-US"/>
              </w:rPr>
            </w:pPr>
          </w:p>
        </w:tc>
        <w:tc>
          <w:tcPr>
            <w:tcW w:w="569" w:type="pct"/>
            <w:shd w:val="clear" w:color="auto" w:fill="auto"/>
            <w:noWrap/>
            <w:vAlign w:val="bottom"/>
            <w:hideMark/>
          </w:tcPr>
          <w:p w14:paraId="0FDF534C"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058B5066"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4C981812" w14:textId="77777777" w:rsidR="007A52A3" w:rsidRPr="00214121" w:rsidRDefault="007A52A3" w:rsidP="00214121">
            <w:pPr>
              <w:jc w:val="center"/>
              <w:rPr>
                <w:rFonts w:ascii="Arial" w:hAnsi="Arial"/>
                <w:sz w:val="22"/>
                <w:szCs w:val="22"/>
                <w:lang w:val="en-US"/>
              </w:rPr>
            </w:pPr>
          </w:p>
        </w:tc>
        <w:tc>
          <w:tcPr>
            <w:tcW w:w="640" w:type="pct"/>
            <w:shd w:val="clear" w:color="auto" w:fill="auto"/>
            <w:noWrap/>
            <w:vAlign w:val="bottom"/>
            <w:hideMark/>
          </w:tcPr>
          <w:p w14:paraId="01E03B2B"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71,552 </w:t>
            </w:r>
          </w:p>
        </w:tc>
      </w:tr>
      <w:tr w:rsidR="007A52A3" w:rsidRPr="00214121" w14:paraId="726B80FB" w14:textId="77777777" w:rsidTr="00214121">
        <w:trPr>
          <w:trHeight w:val="300"/>
        </w:trPr>
        <w:tc>
          <w:tcPr>
            <w:tcW w:w="937" w:type="pct"/>
            <w:shd w:val="clear" w:color="auto" w:fill="auto"/>
            <w:noWrap/>
            <w:vAlign w:val="bottom"/>
            <w:hideMark/>
          </w:tcPr>
          <w:p w14:paraId="4EEFF97C"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Corporation tax </w:t>
            </w:r>
          </w:p>
        </w:tc>
        <w:tc>
          <w:tcPr>
            <w:tcW w:w="864" w:type="pct"/>
            <w:shd w:val="clear" w:color="auto" w:fill="auto"/>
            <w:noWrap/>
            <w:vAlign w:val="bottom"/>
            <w:hideMark/>
          </w:tcPr>
          <w:p w14:paraId="6742E78E" w14:textId="77777777" w:rsidR="007A52A3" w:rsidRPr="00214121" w:rsidRDefault="007A52A3" w:rsidP="00214121">
            <w:pPr>
              <w:rPr>
                <w:rFonts w:ascii="Arial" w:hAnsi="Arial"/>
                <w:color w:val="000000"/>
                <w:sz w:val="22"/>
                <w:szCs w:val="22"/>
                <w:lang w:val="en-US"/>
              </w:rPr>
            </w:pPr>
          </w:p>
        </w:tc>
        <w:tc>
          <w:tcPr>
            <w:tcW w:w="710" w:type="pct"/>
            <w:shd w:val="clear" w:color="auto" w:fill="auto"/>
            <w:noWrap/>
            <w:vAlign w:val="bottom"/>
            <w:hideMark/>
          </w:tcPr>
          <w:p w14:paraId="0CBA26CE" w14:textId="77777777" w:rsidR="007A52A3" w:rsidRPr="00214121" w:rsidRDefault="007A52A3" w:rsidP="00214121">
            <w:pPr>
              <w:rPr>
                <w:rFonts w:ascii="Arial" w:hAnsi="Arial"/>
                <w:sz w:val="22"/>
                <w:szCs w:val="22"/>
                <w:lang w:val="en-US"/>
              </w:rPr>
            </w:pPr>
          </w:p>
        </w:tc>
        <w:tc>
          <w:tcPr>
            <w:tcW w:w="569" w:type="pct"/>
            <w:shd w:val="clear" w:color="auto" w:fill="auto"/>
            <w:noWrap/>
            <w:vAlign w:val="bottom"/>
            <w:hideMark/>
          </w:tcPr>
          <w:p w14:paraId="5C6F55BF"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363960F8"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5249E91A" w14:textId="77777777" w:rsidR="007A52A3" w:rsidRPr="00214121" w:rsidRDefault="007A52A3" w:rsidP="00214121">
            <w:pPr>
              <w:jc w:val="center"/>
              <w:rPr>
                <w:rFonts w:ascii="Arial" w:hAnsi="Arial"/>
                <w:sz w:val="22"/>
                <w:szCs w:val="22"/>
                <w:lang w:val="en-US"/>
              </w:rPr>
            </w:pPr>
          </w:p>
        </w:tc>
        <w:tc>
          <w:tcPr>
            <w:tcW w:w="640" w:type="pct"/>
            <w:shd w:val="clear" w:color="auto" w:fill="auto"/>
            <w:noWrap/>
            <w:vAlign w:val="bottom"/>
            <w:hideMark/>
          </w:tcPr>
          <w:p w14:paraId="78807092"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164,664 </w:t>
            </w:r>
          </w:p>
        </w:tc>
      </w:tr>
      <w:tr w:rsidR="007A52A3" w:rsidRPr="00214121" w14:paraId="11439C2A" w14:textId="77777777" w:rsidTr="00214121">
        <w:trPr>
          <w:trHeight w:val="300"/>
        </w:trPr>
        <w:tc>
          <w:tcPr>
            <w:tcW w:w="937" w:type="pct"/>
            <w:shd w:val="clear" w:color="auto" w:fill="auto"/>
            <w:noWrap/>
            <w:vAlign w:val="bottom"/>
            <w:hideMark/>
          </w:tcPr>
          <w:p w14:paraId="21400569"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Sundry creditors </w:t>
            </w:r>
          </w:p>
        </w:tc>
        <w:tc>
          <w:tcPr>
            <w:tcW w:w="864" w:type="pct"/>
            <w:shd w:val="clear" w:color="auto" w:fill="auto"/>
            <w:noWrap/>
            <w:vAlign w:val="bottom"/>
            <w:hideMark/>
          </w:tcPr>
          <w:p w14:paraId="301C5A19" w14:textId="77777777" w:rsidR="007A52A3" w:rsidRPr="00214121" w:rsidRDefault="007A52A3" w:rsidP="00214121">
            <w:pPr>
              <w:rPr>
                <w:rFonts w:ascii="Arial" w:hAnsi="Arial"/>
                <w:color w:val="000000"/>
                <w:sz w:val="22"/>
                <w:szCs w:val="22"/>
                <w:lang w:val="en-US"/>
              </w:rPr>
            </w:pPr>
          </w:p>
        </w:tc>
        <w:tc>
          <w:tcPr>
            <w:tcW w:w="710" w:type="pct"/>
            <w:shd w:val="clear" w:color="auto" w:fill="auto"/>
            <w:noWrap/>
            <w:vAlign w:val="bottom"/>
            <w:hideMark/>
          </w:tcPr>
          <w:p w14:paraId="4AB93976" w14:textId="77777777" w:rsidR="007A52A3" w:rsidRPr="00214121" w:rsidRDefault="007A52A3" w:rsidP="00214121">
            <w:pPr>
              <w:rPr>
                <w:rFonts w:ascii="Arial" w:hAnsi="Arial"/>
                <w:sz w:val="22"/>
                <w:szCs w:val="22"/>
                <w:lang w:val="en-US"/>
              </w:rPr>
            </w:pPr>
          </w:p>
        </w:tc>
        <w:tc>
          <w:tcPr>
            <w:tcW w:w="569" w:type="pct"/>
            <w:shd w:val="clear" w:color="auto" w:fill="auto"/>
            <w:noWrap/>
            <w:vAlign w:val="bottom"/>
            <w:hideMark/>
          </w:tcPr>
          <w:p w14:paraId="3EDE4F8A"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719E3BA5"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5E6312F7" w14:textId="77777777" w:rsidR="007A52A3" w:rsidRPr="00214121" w:rsidRDefault="007A52A3" w:rsidP="00214121">
            <w:pPr>
              <w:jc w:val="center"/>
              <w:rPr>
                <w:rFonts w:ascii="Arial" w:hAnsi="Arial"/>
                <w:sz w:val="22"/>
                <w:szCs w:val="22"/>
                <w:lang w:val="en-US"/>
              </w:rPr>
            </w:pPr>
          </w:p>
        </w:tc>
        <w:tc>
          <w:tcPr>
            <w:tcW w:w="640" w:type="pct"/>
            <w:shd w:val="clear" w:color="auto" w:fill="auto"/>
            <w:noWrap/>
            <w:vAlign w:val="bottom"/>
            <w:hideMark/>
          </w:tcPr>
          <w:p w14:paraId="19DB6879"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8,546 </w:t>
            </w:r>
          </w:p>
        </w:tc>
      </w:tr>
      <w:tr w:rsidR="007A52A3" w:rsidRPr="00214121" w14:paraId="2486DCD2" w14:textId="77777777" w:rsidTr="00214121">
        <w:trPr>
          <w:trHeight w:val="300"/>
        </w:trPr>
        <w:tc>
          <w:tcPr>
            <w:tcW w:w="1801" w:type="pct"/>
            <w:gridSpan w:val="2"/>
            <w:shd w:val="clear" w:color="auto" w:fill="auto"/>
            <w:noWrap/>
            <w:vAlign w:val="bottom"/>
            <w:hideMark/>
          </w:tcPr>
          <w:p w14:paraId="69CA9F31"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Accrued expenses </w:t>
            </w:r>
          </w:p>
        </w:tc>
        <w:tc>
          <w:tcPr>
            <w:tcW w:w="710" w:type="pct"/>
            <w:shd w:val="clear" w:color="auto" w:fill="auto"/>
            <w:noWrap/>
            <w:vAlign w:val="bottom"/>
            <w:hideMark/>
          </w:tcPr>
          <w:p w14:paraId="1D4A13E3" w14:textId="77777777" w:rsidR="007A52A3" w:rsidRPr="00214121" w:rsidRDefault="007A52A3" w:rsidP="00214121">
            <w:pPr>
              <w:rPr>
                <w:rFonts w:ascii="Arial" w:hAnsi="Arial"/>
                <w:color w:val="000000"/>
                <w:sz w:val="22"/>
                <w:szCs w:val="22"/>
                <w:lang w:val="en-US"/>
              </w:rPr>
            </w:pPr>
          </w:p>
        </w:tc>
        <w:tc>
          <w:tcPr>
            <w:tcW w:w="569" w:type="pct"/>
            <w:shd w:val="clear" w:color="auto" w:fill="auto"/>
            <w:noWrap/>
            <w:vAlign w:val="bottom"/>
            <w:hideMark/>
          </w:tcPr>
          <w:p w14:paraId="3DE9B352" w14:textId="039FEE5B" w:rsidR="007A52A3" w:rsidRPr="00214121" w:rsidRDefault="007A52A3" w:rsidP="00214121">
            <w:pPr>
              <w:rPr>
                <w:rFonts w:ascii="Arial" w:hAnsi="Arial"/>
                <w:sz w:val="22"/>
                <w:szCs w:val="22"/>
                <w:lang w:val="en-US"/>
              </w:rPr>
            </w:pPr>
            <w:r w:rsidRPr="00214121">
              <w:rPr>
                <w:rFonts w:ascii="Arial" w:hAnsi="Arial"/>
                <w:sz w:val="22"/>
                <w:szCs w:val="22"/>
                <w:lang w:val="en-US"/>
              </w:rPr>
              <w:t xml:space="preserve">      </w:t>
            </w:r>
          </w:p>
        </w:tc>
        <w:tc>
          <w:tcPr>
            <w:tcW w:w="640" w:type="pct"/>
            <w:shd w:val="clear" w:color="auto" w:fill="auto"/>
            <w:noWrap/>
            <w:vAlign w:val="bottom"/>
            <w:hideMark/>
          </w:tcPr>
          <w:p w14:paraId="4991320C" w14:textId="73A604F8" w:rsidR="007A52A3" w:rsidRPr="00214121" w:rsidRDefault="00962E24" w:rsidP="00214121">
            <w:pPr>
              <w:jc w:val="center"/>
              <w:rPr>
                <w:rFonts w:ascii="Arial" w:hAnsi="Arial"/>
                <w:sz w:val="22"/>
                <w:szCs w:val="22"/>
                <w:lang w:val="en-US"/>
              </w:rPr>
            </w:pPr>
            <w:r>
              <w:rPr>
                <w:rFonts w:ascii="Arial" w:hAnsi="Arial"/>
                <w:sz w:val="22"/>
                <w:szCs w:val="22"/>
                <w:lang w:val="en-US"/>
              </w:rPr>
              <w:t>3</w:t>
            </w:r>
          </w:p>
        </w:tc>
        <w:tc>
          <w:tcPr>
            <w:tcW w:w="640" w:type="pct"/>
            <w:shd w:val="clear" w:color="auto" w:fill="auto"/>
            <w:noWrap/>
            <w:vAlign w:val="bottom"/>
            <w:hideMark/>
          </w:tcPr>
          <w:p w14:paraId="6239C75B" w14:textId="77777777" w:rsidR="007A52A3" w:rsidRPr="00214121" w:rsidRDefault="007A52A3" w:rsidP="00214121">
            <w:pPr>
              <w:jc w:val="center"/>
              <w:rPr>
                <w:rFonts w:ascii="Arial" w:hAnsi="Arial"/>
                <w:sz w:val="22"/>
                <w:szCs w:val="22"/>
                <w:lang w:val="en-US"/>
              </w:rPr>
            </w:pPr>
          </w:p>
        </w:tc>
        <w:tc>
          <w:tcPr>
            <w:tcW w:w="640" w:type="pct"/>
            <w:shd w:val="clear" w:color="auto" w:fill="auto"/>
            <w:noWrap/>
            <w:vAlign w:val="bottom"/>
            <w:hideMark/>
          </w:tcPr>
          <w:p w14:paraId="5DA1D575"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23,400 </w:t>
            </w:r>
          </w:p>
        </w:tc>
      </w:tr>
      <w:tr w:rsidR="007A52A3" w:rsidRPr="00214121" w14:paraId="6B3449A9" w14:textId="77777777" w:rsidTr="00214121">
        <w:trPr>
          <w:trHeight w:val="300"/>
        </w:trPr>
        <w:tc>
          <w:tcPr>
            <w:tcW w:w="3080" w:type="pct"/>
            <w:gridSpan w:val="4"/>
            <w:shd w:val="clear" w:color="auto" w:fill="auto"/>
            <w:noWrap/>
            <w:vAlign w:val="bottom"/>
            <w:hideMark/>
          </w:tcPr>
          <w:p w14:paraId="64D22CAB" w14:textId="48732003"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Director's current account due after more than one year  </w:t>
            </w:r>
          </w:p>
        </w:tc>
        <w:tc>
          <w:tcPr>
            <w:tcW w:w="640" w:type="pct"/>
            <w:shd w:val="clear" w:color="auto" w:fill="auto"/>
            <w:noWrap/>
            <w:vAlign w:val="bottom"/>
            <w:hideMark/>
          </w:tcPr>
          <w:p w14:paraId="6E0887CA" w14:textId="43199B99" w:rsidR="007A52A3" w:rsidRPr="00214121" w:rsidRDefault="00962E24" w:rsidP="00214121">
            <w:pPr>
              <w:jc w:val="center"/>
              <w:rPr>
                <w:rFonts w:ascii="Arial" w:hAnsi="Arial"/>
                <w:color w:val="000000"/>
                <w:sz w:val="22"/>
                <w:szCs w:val="22"/>
                <w:lang w:val="en-US"/>
              </w:rPr>
            </w:pPr>
            <w:r>
              <w:rPr>
                <w:rFonts w:ascii="Arial" w:hAnsi="Arial"/>
                <w:color w:val="000000"/>
                <w:sz w:val="22"/>
                <w:szCs w:val="22"/>
                <w:lang w:val="en-US"/>
              </w:rPr>
              <w:t>4</w:t>
            </w:r>
          </w:p>
        </w:tc>
        <w:tc>
          <w:tcPr>
            <w:tcW w:w="640" w:type="pct"/>
            <w:shd w:val="clear" w:color="auto" w:fill="auto"/>
            <w:noWrap/>
            <w:vAlign w:val="bottom"/>
            <w:hideMark/>
          </w:tcPr>
          <w:p w14:paraId="584E5142" w14:textId="77777777" w:rsidR="007A52A3" w:rsidRPr="00214121" w:rsidRDefault="007A52A3" w:rsidP="00214121">
            <w:pPr>
              <w:jc w:val="center"/>
              <w:rPr>
                <w:rFonts w:ascii="Arial" w:hAnsi="Arial"/>
                <w:sz w:val="22"/>
                <w:szCs w:val="22"/>
                <w:lang w:val="en-US"/>
              </w:rPr>
            </w:pPr>
          </w:p>
        </w:tc>
        <w:tc>
          <w:tcPr>
            <w:tcW w:w="640" w:type="pct"/>
            <w:shd w:val="clear" w:color="auto" w:fill="auto"/>
            <w:noWrap/>
            <w:vAlign w:val="bottom"/>
            <w:hideMark/>
          </w:tcPr>
          <w:p w14:paraId="4F903B00"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65,000 </w:t>
            </w:r>
          </w:p>
        </w:tc>
      </w:tr>
      <w:tr w:rsidR="007A52A3" w:rsidRPr="00214121" w14:paraId="5A339B92" w14:textId="77777777" w:rsidTr="00214121">
        <w:trPr>
          <w:trHeight w:val="300"/>
        </w:trPr>
        <w:tc>
          <w:tcPr>
            <w:tcW w:w="937" w:type="pct"/>
            <w:shd w:val="clear" w:color="auto" w:fill="auto"/>
            <w:noWrap/>
            <w:vAlign w:val="bottom"/>
            <w:hideMark/>
          </w:tcPr>
          <w:p w14:paraId="4FFAD05B"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Deferred tax </w:t>
            </w:r>
          </w:p>
        </w:tc>
        <w:tc>
          <w:tcPr>
            <w:tcW w:w="864" w:type="pct"/>
            <w:shd w:val="clear" w:color="auto" w:fill="auto"/>
            <w:noWrap/>
            <w:vAlign w:val="bottom"/>
            <w:hideMark/>
          </w:tcPr>
          <w:p w14:paraId="6418058E" w14:textId="77777777" w:rsidR="007A52A3" w:rsidRPr="00214121" w:rsidRDefault="007A52A3" w:rsidP="00214121">
            <w:pPr>
              <w:rPr>
                <w:rFonts w:ascii="Arial" w:hAnsi="Arial"/>
                <w:color w:val="000000"/>
                <w:sz w:val="22"/>
                <w:szCs w:val="22"/>
                <w:lang w:val="en-US"/>
              </w:rPr>
            </w:pPr>
          </w:p>
        </w:tc>
        <w:tc>
          <w:tcPr>
            <w:tcW w:w="710" w:type="pct"/>
            <w:shd w:val="clear" w:color="auto" w:fill="auto"/>
            <w:noWrap/>
            <w:vAlign w:val="bottom"/>
            <w:hideMark/>
          </w:tcPr>
          <w:p w14:paraId="0899F1E7" w14:textId="77777777" w:rsidR="007A52A3" w:rsidRPr="00214121" w:rsidRDefault="007A52A3" w:rsidP="00214121">
            <w:pPr>
              <w:rPr>
                <w:rFonts w:ascii="Arial" w:hAnsi="Arial"/>
                <w:sz w:val="22"/>
                <w:szCs w:val="22"/>
                <w:lang w:val="en-US"/>
              </w:rPr>
            </w:pPr>
          </w:p>
        </w:tc>
        <w:tc>
          <w:tcPr>
            <w:tcW w:w="569" w:type="pct"/>
            <w:shd w:val="clear" w:color="auto" w:fill="auto"/>
            <w:noWrap/>
            <w:vAlign w:val="bottom"/>
            <w:hideMark/>
          </w:tcPr>
          <w:p w14:paraId="14E1F22D"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3B147839" w14:textId="77777777" w:rsidR="007A52A3" w:rsidRPr="00214121" w:rsidRDefault="007A52A3" w:rsidP="00214121">
            <w:pPr>
              <w:rPr>
                <w:rFonts w:ascii="Arial" w:hAnsi="Arial"/>
                <w:sz w:val="22"/>
                <w:szCs w:val="22"/>
                <w:lang w:val="en-US"/>
              </w:rPr>
            </w:pPr>
          </w:p>
        </w:tc>
        <w:tc>
          <w:tcPr>
            <w:tcW w:w="640" w:type="pct"/>
            <w:shd w:val="clear" w:color="auto" w:fill="auto"/>
            <w:noWrap/>
            <w:vAlign w:val="bottom"/>
            <w:hideMark/>
          </w:tcPr>
          <w:p w14:paraId="1B54EE50" w14:textId="77777777" w:rsidR="007A52A3" w:rsidRPr="00214121" w:rsidRDefault="007A52A3" w:rsidP="00214121">
            <w:pPr>
              <w:jc w:val="center"/>
              <w:rPr>
                <w:rFonts w:ascii="Arial" w:hAnsi="Arial"/>
                <w:sz w:val="22"/>
                <w:szCs w:val="22"/>
                <w:lang w:val="en-US"/>
              </w:rPr>
            </w:pPr>
          </w:p>
        </w:tc>
        <w:tc>
          <w:tcPr>
            <w:tcW w:w="640" w:type="pct"/>
            <w:shd w:val="clear" w:color="auto" w:fill="auto"/>
            <w:noWrap/>
            <w:vAlign w:val="bottom"/>
            <w:hideMark/>
          </w:tcPr>
          <w:p w14:paraId="2447311B"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25,540 </w:t>
            </w:r>
          </w:p>
        </w:tc>
      </w:tr>
      <w:tr w:rsidR="007A52A3" w:rsidRPr="00214121" w14:paraId="2D3BB518" w14:textId="77777777" w:rsidTr="00214121">
        <w:trPr>
          <w:trHeight w:val="300"/>
        </w:trPr>
        <w:tc>
          <w:tcPr>
            <w:tcW w:w="937" w:type="pct"/>
            <w:tcBorders>
              <w:left w:val="nil"/>
              <w:bottom w:val="nil"/>
              <w:right w:val="nil"/>
            </w:tcBorders>
            <w:shd w:val="clear" w:color="auto" w:fill="auto"/>
            <w:noWrap/>
            <w:vAlign w:val="bottom"/>
            <w:hideMark/>
          </w:tcPr>
          <w:p w14:paraId="08E403D0"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Share capital </w:t>
            </w:r>
          </w:p>
        </w:tc>
        <w:tc>
          <w:tcPr>
            <w:tcW w:w="864" w:type="pct"/>
            <w:tcBorders>
              <w:left w:val="nil"/>
              <w:bottom w:val="nil"/>
              <w:right w:val="nil"/>
            </w:tcBorders>
            <w:shd w:val="clear" w:color="auto" w:fill="auto"/>
            <w:noWrap/>
            <w:vAlign w:val="bottom"/>
            <w:hideMark/>
          </w:tcPr>
          <w:p w14:paraId="2E72F8E3" w14:textId="77777777" w:rsidR="007A52A3" w:rsidRPr="00214121" w:rsidRDefault="007A52A3" w:rsidP="00214121">
            <w:pPr>
              <w:rPr>
                <w:rFonts w:ascii="Arial" w:hAnsi="Arial"/>
                <w:color w:val="000000"/>
                <w:sz w:val="22"/>
                <w:szCs w:val="22"/>
                <w:lang w:val="en-US"/>
              </w:rPr>
            </w:pPr>
          </w:p>
        </w:tc>
        <w:tc>
          <w:tcPr>
            <w:tcW w:w="710" w:type="pct"/>
            <w:tcBorders>
              <w:left w:val="nil"/>
              <w:bottom w:val="nil"/>
              <w:right w:val="nil"/>
            </w:tcBorders>
            <w:shd w:val="clear" w:color="auto" w:fill="auto"/>
            <w:noWrap/>
            <w:vAlign w:val="bottom"/>
            <w:hideMark/>
          </w:tcPr>
          <w:p w14:paraId="0BC2EA65" w14:textId="77777777" w:rsidR="007A52A3" w:rsidRPr="00214121" w:rsidRDefault="007A52A3" w:rsidP="00214121">
            <w:pPr>
              <w:rPr>
                <w:rFonts w:ascii="Arial" w:hAnsi="Arial"/>
                <w:sz w:val="22"/>
                <w:szCs w:val="22"/>
                <w:lang w:val="en-US"/>
              </w:rPr>
            </w:pPr>
          </w:p>
        </w:tc>
        <w:tc>
          <w:tcPr>
            <w:tcW w:w="569" w:type="pct"/>
            <w:tcBorders>
              <w:left w:val="nil"/>
              <w:bottom w:val="nil"/>
              <w:right w:val="nil"/>
            </w:tcBorders>
            <w:shd w:val="clear" w:color="auto" w:fill="auto"/>
            <w:noWrap/>
            <w:vAlign w:val="bottom"/>
            <w:hideMark/>
          </w:tcPr>
          <w:p w14:paraId="4FA6D492" w14:textId="77777777" w:rsidR="007A52A3" w:rsidRPr="00214121" w:rsidRDefault="007A52A3" w:rsidP="00214121">
            <w:pPr>
              <w:rPr>
                <w:rFonts w:ascii="Arial" w:hAnsi="Arial"/>
                <w:sz w:val="22"/>
                <w:szCs w:val="22"/>
                <w:lang w:val="en-US"/>
              </w:rPr>
            </w:pPr>
          </w:p>
        </w:tc>
        <w:tc>
          <w:tcPr>
            <w:tcW w:w="640" w:type="pct"/>
            <w:tcBorders>
              <w:left w:val="nil"/>
              <w:bottom w:val="nil"/>
              <w:right w:val="nil"/>
            </w:tcBorders>
            <w:shd w:val="clear" w:color="auto" w:fill="auto"/>
            <w:noWrap/>
            <w:vAlign w:val="bottom"/>
            <w:hideMark/>
          </w:tcPr>
          <w:p w14:paraId="4E35C180" w14:textId="77777777" w:rsidR="007A52A3" w:rsidRPr="00214121" w:rsidRDefault="007A52A3" w:rsidP="00214121">
            <w:pPr>
              <w:rPr>
                <w:rFonts w:ascii="Arial" w:hAnsi="Arial"/>
                <w:sz w:val="22"/>
                <w:szCs w:val="22"/>
                <w:lang w:val="en-US"/>
              </w:rPr>
            </w:pPr>
          </w:p>
        </w:tc>
        <w:tc>
          <w:tcPr>
            <w:tcW w:w="640" w:type="pct"/>
            <w:tcBorders>
              <w:left w:val="nil"/>
              <w:bottom w:val="nil"/>
              <w:right w:val="nil"/>
            </w:tcBorders>
            <w:shd w:val="clear" w:color="auto" w:fill="auto"/>
            <w:noWrap/>
            <w:vAlign w:val="bottom"/>
            <w:hideMark/>
          </w:tcPr>
          <w:p w14:paraId="7F4D2AE1" w14:textId="77777777" w:rsidR="007A52A3" w:rsidRPr="00214121" w:rsidRDefault="007A52A3" w:rsidP="00214121">
            <w:pPr>
              <w:jc w:val="center"/>
              <w:rPr>
                <w:rFonts w:ascii="Arial" w:hAnsi="Arial"/>
                <w:sz w:val="22"/>
                <w:szCs w:val="22"/>
                <w:lang w:val="en-US"/>
              </w:rPr>
            </w:pPr>
          </w:p>
        </w:tc>
        <w:tc>
          <w:tcPr>
            <w:tcW w:w="640" w:type="pct"/>
            <w:tcBorders>
              <w:left w:val="nil"/>
              <w:bottom w:val="nil"/>
              <w:right w:val="nil"/>
            </w:tcBorders>
            <w:shd w:val="clear" w:color="auto" w:fill="auto"/>
            <w:noWrap/>
            <w:vAlign w:val="bottom"/>
            <w:hideMark/>
          </w:tcPr>
          <w:p w14:paraId="4E7302B5"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100 </w:t>
            </w:r>
          </w:p>
        </w:tc>
      </w:tr>
      <w:tr w:rsidR="007A52A3" w:rsidRPr="00214121" w14:paraId="65909C9B" w14:textId="77777777" w:rsidTr="00B9592E">
        <w:trPr>
          <w:trHeight w:val="300"/>
        </w:trPr>
        <w:tc>
          <w:tcPr>
            <w:tcW w:w="1801" w:type="pct"/>
            <w:gridSpan w:val="2"/>
            <w:tcBorders>
              <w:top w:val="nil"/>
              <w:left w:val="nil"/>
              <w:bottom w:val="nil"/>
              <w:right w:val="nil"/>
            </w:tcBorders>
            <w:shd w:val="clear" w:color="auto" w:fill="auto"/>
            <w:noWrap/>
            <w:vAlign w:val="bottom"/>
            <w:hideMark/>
          </w:tcPr>
          <w:p w14:paraId="669F1D4D"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Revaluation reserve </w:t>
            </w:r>
          </w:p>
        </w:tc>
        <w:tc>
          <w:tcPr>
            <w:tcW w:w="710" w:type="pct"/>
            <w:tcBorders>
              <w:top w:val="nil"/>
              <w:left w:val="nil"/>
              <w:bottom w:val="nil"/>
              <w:right w:val="nil"/>
            </w:tcBorders>
            <w:shd w:val="clear" w:color="auto" w:fill="auto"/>
            <w:noWrap/>
            <w:vAlign w:val="bottom"/>
            <w:hideMark/>
          </w:tcPr>
          <w:p w14:paraId="01340D09" w14:textId="77777777" w:rsidR="007A52A3" w:rsidRPr="00214121" w:rsidRDefault="007A52A3" w:rsidP="00214121">
            <w:pPr>
              <w:rPr>
                <w:rFonts w:ascii="Arial" w:hAnsi="Arial"/>
                <w:color w:val="000000"/>
                <w:sz w:val="22"/>
                <w:szCs w:val="22"/>
                <w:lang w:val="en-US"/>
              </w:rPr>
            </w:pPr>
          </w:p>
        </w:tc>
        <w:tc>
          <w:tcPr>
            <w:tcW w:w="569" w:type="pct"/>
            <w:tcBorders>
              <w:top w:val="nil"/>
              <w:left w:val="nil"/>
              <w:bottom w:val="nil"/>
              <w:right w:val="nil"/>
            </w:tcBorders>
            <w:shd w:val="clear" w:color="auto" w:fill="auto"/>
            <w:noWrap/>
            <w:vAlign w:val="bottom"/>
            <w:hideMark/>
          </w:tcPr>
          <w:p w14:paraId="44E4C1A0"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16E4E92D"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66D21E50" w14:textId="77777777" w:rsidR="007A52A3" w:rsidRPr="00214121" w:rsidRDefault="007A52A3" w:rsidP="00214121">
            <w:pPr>
              <w:jc w:val="cente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25E1E165"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20,000 </w:t>
            </w:r>
          </w:p>
        </w:tc>
      </w:tr>
      <w:tr w:rsidR="007A52A3" w:rsidRPr="00214121" w14:paraId="3D11587C" w14:textId="77777777" w:rsidTr="00B9592E">
        <w:trPr>
          <w:trHeight w:val="300"/>
        </w:trPr>
        <w:tc>
          <w:tcPr>
            <w:tcW w:w="1801" w:type="pct"/>
            <w:gridSpan w:val="2"/>
            <w:tcBorders>
              <w:top w:val="nil"/>
              <w:left w:val="nil"/>
              <w:bottom w:val="nil"/>
              <w:right w:val="nil"/>
            </w:tcBorders>
            <w:shd w:val="clear" w:color="auto" w:fill="auto"/>
            <w:noWrap/>
            <w:vAlign w:val="bottom"/>
            <w:hideMark/>
          </w:tcPr>
          <w:p w14:paraId="77D4D9FF"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Profit and loss account reserves </w:t>
            </w:r>
          </w:p>
        </w:tc>
        <w:tc>
          <w:tcPr>
            <w:tcW w:w="710" w:type="pct"/>
            <w:tcBorders>
              <w:top w:val="nil"/>
              <w:left w:val="nil"/>
              <w:bottom w:val="nil"/>
              <w:right w:val="nil"/>
            </w:tcBorders>
            <w:shd w:val="clear" w:color="auto" w:fill="auto"/>
            <w:noWrap/>
            <w:vAlign w:val="bottom"/>
            <w:hideMark/>
          </w:tcPr>
          <w:p w14:paraId="3BBBF6DC" w14:textId="77777777" w:rsidR="007A52A3" w:rsidRPr="00214121" w:rsidRDefault="007A52A3" w:rsidP="00214121">
            <w:pPr>
              <w:rPr>
                <w:rFonts w:ascii="Arial" w:hAnsi="Arial"/>
                <w:color w:val="000000"/>
                <w:sz w:val="22"/>
                <w:szCs w:val="22"/>
                <w:lang w:val="en-US"/>
              </w:rPr>
            </w:pPr>
          </w:p>
        </w:tc>
        <w:tc>
          <w:tcPr>
            <w:tcW w:w="569" w:type="pct"/>
            <w:tcBorders>
              <w:top w:val="nil"/>
              <w:left w:val="nil"/>
              <w:bottom w:val="nil"/>
              <w:right w:val="nil"/>
            </w:tcBorders>
            <w:shd w:val="clear" w:color="auto" w:fill="auto"/>
            <w:noWrap/>
            <w:vAlign w:val="bottom"/>
            <w:hideMark/>
          </w:tcPr>
          <w:p w14:paraId="34FA2D11"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7C9FA22A"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131D1FEB" w14:textId="77777777" w:rsidR="007A52A3" w:rsidRPr="00214121" w:rsidRDefault="007A52A3" w:rsidP="00214121">
            <w:pPr>
              <w:jc w:val="cente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5F5E3B2F"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1,754,309 </w:t>
            </w:r>
          </w:p>
        </w:tc>
      </w:tr>
      <w:tr w:rsidR="007A52A3" w:rsidRPr="00214121" w14:paraId="33812626" w14:textId="77777777" w:rsidTr="00B9592E">
        <w:trPr>
          <w:trHeight w:val="300"/>
        </w:trPr>
        <w:tc>
          <w:tcPr>
            <w:tcW w:w="937" w:type="pct"/>
            <w:tcBorders>
              <w:top w:val="nil"/>
              <w:left w:val="nil"/>
              <w:bottom w:val="nil"/>
              <w:right w:val="nil"/>
            </w:tcBorders>
            <w:shd w:val="clear" w:color="auto" w:fill="auto"/>
            <w:noWrap/>
            <w:vAlign w:val="bottom"/>
            <w:hideMark/>
          </w:tcPr>
          <w:p w14:paraId="5D7C61CA"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Sales </w:t>
            </w:r>
          </w:p>
        </w:tc>
        <w:tc>
          <w:tcPr>
            <w:tcW w:w="864" w:type="pct"/>
            <w:tcBorders>
              <w:top w:val="nil"/>
              <w:left w:val="nil"/>
              <w:bottom w:val="nil"/>
              <w:right w:val="nil"/>
            </w:tcBorders>
            <w:shd w:val="clear" w:color="auto" w:fill="auto"/>
            <w:noWrap/>
            <w:vAlign w:val="bottom"/>
            <w:hideMark/>
          </w:tcPr>
          <w:p w14:paraId="07C06CEF" w14:textId="77777777" w:rsidR="007A52A3" w:rsidRPr="00214121" w:rsidRDefault="007A52A3" w:rsidP="00214121">
            <w:pPr>
              <w:rPr>
                <w:rFonts w:ascii="Arial" w:hAnsi="Arial"/>
                <w:color w:val="000000"/>
                <w:sz w:val="22"/>
                <w:szCs w:val="22"/>
                <w:lang w:val="en-US"/>
              </w:rPr>
            </w:pPr>
          </w:p>
        </w:tc>
        <w:tc>
          <w:tcPr>
            <w:tcW w:w="710" w:type="pct"/>
            <w:tcBorders>
              <w:top w:val="nil"/>
              <w:left w:val="nil"/>
              <w:bottom w:val="nil"/>
              <w:right w:val="nil"/>
            </w:tcBorders>
            <w:shd w:val="clear" w:color="auto" w:fill="auto"/>
            <w:noWrap/>
            <w:vAlign w:val="bottom"/>
            <w:hideMark/>
          </w:tcPr>
          <w:p w14:paraId="7C1FCB89" w14:textId="77777777" w:rsidR="007A52A3" w:rsidRPr="00214121" w:rsidRDefault="007A52A3" w:rsidP="00214121">
            <w:pPr>
              <w:rPr>
                <w:rFonts w:ascii="Arial" w:hAnsi="Arial"/>
                <w:sz w:val="22"/>
                <w:szCs w:val="22"/>
                <w:lang w:val="en-US"/>
              </w:rPr>
            </w:pPr>
          </w:p>
        </w:tc>
        <w:tc>
          <w:tcPr>
            <w:tcW w:w="569" w:type="pct"/>
            <w:tcBorders>
              <w:top w:val="nil"/>
              <w:left w:val="nil"/>
              <w:bottom w:val="nil"/>
              <w:right w:val="nil"/>
            </w:tcBorders>
            <w:shd w:val="clear" w:color="auto" w:fill="auto"/>
            <w:noWrap/>
            <w:vAlign w:val="bottom"/>
            <w:hideMark/>
          </w:tcPr>
          <w:p w14:paraId="6AD0483E"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53706DEE"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1B362399" w14:textId="77777777" w:rsidR="007A52A3" w:rsidRPr="00214121" w:rsidRDefault="007A52A3" w:rsidP="00214121">
            <w:pPr>
              <w:jc w:val="cente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070059C9"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4,126,211 </w:t>
            </w:r>
          </w:p>
        </w:tc>
      </w:tr>
      <w:tr w:rsidR="007A52A3" w:rsidRPr="00214121" w14:paraId="799CDDD6" w14:textId="77777777" w:rsidTr="00B9592E">
        <w:trPr>
          <w:trHeight w:val="300"/>
        </w:trPr>
        <w:tc>
          <w:tcPr>
            <w:tcW w:w="937" w:type="pct"/>
            <w:tcBorders>
              <w:top w:val="nil"/>
              <w:left w:val="nil"/>
              <w:bottom w:val="nil"/>
              <w:right w:val="nil"/>
            </w:tcBorders>
            <w:shd w:val="clear" w:color="auto" w:fill="auto"/>
            <w:noWrap/>
            <w:vAlign w:val="bottom"/>
            <w:hideMark/>
          </w:tcPr>
          <w:p w14:paraId="7CA14722"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Opening stock </w:t>
            </w:r>
          </w:p>
        </w:tc>
        <w:tc>
          <w:tcPr>
            <w:tcW w:w="864" w:type="pct"/>
            <w:tcBorders>
              <w:top w:val="nil"/>
              <w:left w:val="nil"/>
              <w:bottom w:val="nil"/>
              <w:right w:val="nil"/>
            </w:tcBorders>
            <w:shd w:val="clear" w:color="auto" w:fill="auto"/>
            <w:noWrap/>
            <w:vAlign w:val="bottom"/>
            <w:hideMark/>
          </w:tcPr>
          <w:p w14:paraId="5232E08E" w14:textId="77777777" w:rsidR="007A52A3" w:rsidRPr="00214121" w:rsidRDefault="007A52A3" w:rsidP="00214121">
            <w:pPr>
              <w:rPr>
                <w:rFonts w:ascii="Arial" w:hAnsi="Arial"/>
                <w:color w:val="000000"/>
                <w:sz w:val="22"/>
                <w:szCs w:val="22"/>
                <w:lang w:val="en-US"/>
              </w:rPr>
            </w:pPr>
          </w:p>
        </w:tc>
        <w:tc>
          <w:tcPr>
            <w:tcW w:w="710" w:type="pct"/>
            <w:tcBorders>
              <w:top w:val="nil"/>
              <w:left w:val="nil"/>
              <w:bottom w:val="nil"/>
              <w:right w:val="nil"/>
            </w:tcBorders>
            <w:shd w:val="clear" w:color="auto" w:fill="auto"/>
            <w:noWrap/>
            <w:vAlign w:val="bottom"/>
            <w:hideMark/>
          </w:tcPr>
          <w:p w14:paraId="04DD9582" w14:textId="77777777" w:rsidR="007A52A3" w:rsidRPr="00214121" w:rsidRDefault="007A52A3" w:rsidP="00214121">
            <w:pPr>
              <w:rPr>
                <w:rFonts w:ascii="Arial" w:hAnsi="Arial"/>
                <w:sz w:val="22"/>
                <w:szCs w:val="22"/>
                <w:lang w:val="en-US"/>
              </w:rPr>
            </w:pPr>
          </w:p>
        </w:tc>
        <w:tc>
          <w:tcPr>
            <w:tcW w:w="569" w:type="pct"/>
            <w:tcBorders>
              <w:top w:val="nil"/>
              <w:left w:val="nil"/>
              <w:bottom w:val="nil"/>
              <w:right w:val="nil"/>
            </w:tcBorders>
            <w:shd w:val="clear" w:color="auto" w:fill="auto"/>
            <w:noWrap/>
            <w:vAlign w:val="bottom"/>
            <w:hideMark/>
          </w:tcPr>
          <w:p w14:paraId="43BD619C"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53567F27"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3858E112"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11,383 </w:t>
            </w:r>
          </w:p>
        </w:tc>
        <w:tc>
          <w:tcPr>
            <w:tcW w:w="640" w:type="pct"/>
            <w:tcBorders>
              <w:top w:val="nil"/>
              <w:left w:val="nil"/>
              <w:bottom w:val="nil"/>
              <w:right w:val="nil"/>
            </w:tcBorders>
            <w:shd w:val="clear" w:color="auto" w:fill="auto"/>
            <w:noWrap/>
            <w:vAlign w:val="bottom"/>
            <w:hideMark/>
          </w:tcPr>
          <w:p w14:paraId="44BF4A94" w14:textId="77777777" w:rsidR="007A52A3" w:rsidRPr="00214121" w:rsidRDefault="007A52A3" w:rsidP="00214121">
            <w:pPr>
              <w:jc w:val="right"/>
              <w:rPr>
                <w:rFonts w:ascii="Arial" w:hAnsi="Arial"/>
                <w:color w:val="000000"/>
                <w:sz w:val="22"/>
                <w:szCs w:val="22"/>
                <w:lang w:val="en-US"/>
              </w:rPr>
            </w:pPr>
          </w:p>
        </w:tc>
      </w:tr>
      <w:tr w:rsidR="007A52A3" w:rsidRPr="00214121" w14:paraId="3162FC87" w14:textId="77777777" w:rsidTr="00B9592E">
        <w:trPr>
          <w:trHeight w:val="300"/>
        </w:trPr>
        <w:tc>
          <w:tcPr>
            <w:tcW w:w="937" w:type="pct"/>
            <w:tcBorders>
              <w:top w:val="nil"/>
              <w:left w:val="nil"/>
              <w:bottom w:val="nil"/>
              <w:right w:val="nil"/>
            </w:tcBorders>
            <w:shd w:val="clear" w:color="auto" w:fill="auto"/>
            <w:noWrap/>
            <w:vAlign w:val="bottom"/>
            <w:hideMark/>
          </w:tcPr>
          <w:p w14:paraId="11F7654A"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Purchases</w:t>
            </w:r>
          </w:p>
        </w:tc>
        <w:tc>
          <w:tcPr>
            <w:tcW w:w="864" w:type="pct"/>
            <w:tcBorders>
              <w:top w:val="nil"/>
              <w:left w:val="nil"/>
              <w:bottom w:val="nil"/>
              <w:right w:val="nil"/>
            </w:tcBorders>
            <w:shd w:val="clear" w:color="auto" w:fill="auto"/>
            <w:noWrap/>
            <w:vAlign w:val="bottom"/>
            <w:hideMark/>
          </w:tcPr>
          <w:p w14:paraId="5AF575D0" w14:textId="77777777" w:rsidR="007A52A3" w:rsidRPr="00214121" w:rsidRDefault="007A52A3" w:rsidP="00214121">
            <w:pPr>
              <w:rPr>
                <w:rFonts w:ascii="Arial" w:hAnsi="Arial"/>
                <w:color w:val="000000"/>
                <w:sz w:val="22"/>
                <w:szCs w:val="22"/>
                <w:lang w:val="en-US"/>
              </w:rPr>
            </w:pPr>
          </w:p>
        </w:tc>
        <w:tc>
          <w:tcPr>
            <w:tcW w:w="710" w:type="pct"/>
            <w:tcBorders>
              <w:top w:val="nil"/>
              <w:left w:val="nil"/>
              <w:bottom w:val="nil"/>
              <w:right w:val="nil"/>
            </w:tcBorders>
            <w:shd w:val="clear" w:color="auto" w:fill="auto"/>
            <w:noWrap/>
            <w:vAlign w:val="bottom"/>
            <w:hideMark/>
          </w:tcPr>
          <w:p w14:paraId="15B593AB" w14:textId="77777777" w:rsidR="007A52A3" w:rsidRPr="00214121" w:rsidRDefault="007A52A3" w:rsidP="00214121">
            <w:pPr>
              <w:rPr>
                <w:rFonts w:ascii="Arial" w:hAnsi="Arial"/>
                <w:sz w:val="22"/>
                <w:szCs w:val="22"/>
                <w:lang w:val="en-US"/>
              </w:rPr>
            </w:pPr>
          </w:p>
        </w:tc>
        <w:tc>
          <w:tcPr>
            <w:tcW w:w="569" w:type="pct"/>
            <w:tcBorders>
              <w:top w:val="nil"/>
              <w:left w:val="nil"/>
              <w:bottom w:val="nil"/>
              <w:right w:val="nil"/>
            </w:tcBorders>
            <w:shd w:val="clear" w:color="auto" w:fill="auto"/>
            <w:noWrap/>
            <w:vAlign w:val="bottom"/>
            <w:hideMark/>
          </w:tcPr>
          <w:p w14:paraId="71EEB832"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6E1D5564"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7661C7A6"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2,574,327 </w:t>
            </w:r>
          </w:p>
        </w:tc>
        <w:tc>
          <w:tcPr>
            <w:tcW w:w="640" w:type="pct"/>
            <w:tcBorders>
              <w:top w:val="nil"/>
              <w:left w:val="nil"/>
              <w:bottom w:val="nil"/>
              <w:right w:val="nil"/>
            </w:tcBorders>
            <w:shd w:val="clear" w:color="auto" w:fill="auto"/>
            <w:noWrap/>
            <w:vAlign w:val="bottom"/>
            <w:hideMark/>
          </w:tcPr>
          <w:p w14:paraId="203521EB" w14:textId="77777777" w:rsidR="007A52A3" w:rsidRPr="00214121" w:rsidRDefault="007A52A3" w:rsidP="00214121">
            <w:pPr>
              <w:jc w:val="right"/>
              <w:rPr>
                <w:rFonts w:ascii="Arial" w:hAnsi="Arial"/>
                <w:color w:val="000000"/>
                <w:sz w:val="22"/>
                <w:szCs w:val="22"/>
                <w:lang w:val="en-US"/>
              </w:rPr>
            </w:pPr>
          </w:p>
        </w:tc>
      </w:tr>
      <w:tr w:rsidR="007A52A3" w:rsidRPr="00214121" w14:paraId="16794C0C" w14:textId="77777777" w:rsidTr="00B9592E">
        <w:trPr>
          <w:trHeight w:val="300"/>
        </w:trPr>
        <w:tc>
          <w:tcPr>
            <w:tcW w:w="937" w:type="pct"/>
            <w:tcBorders>
              <w:top w:val="nil"/>
              <w:left w:val="nil"/>
              <w:bottom w:val="nil"/>
              <w:right w:val="nil"/>
            </w:tcBorders>
            <w:shd w:val="clear" w:color="auto" w:fill="auto"/>
            <w:noWrap/>
            <w:vAlign w:val="bottom"/>
            <w:hideMark/>
          </w:tcPr>
          <w:p w14:paraId="3D7E9DCF"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Closing stock </w:t>
            </w:r>
          </w:p>
        </w:tc>
        <w:tc>
          <w:tcPr>
            <w:tcW w:w="864" w:type="pct"/>
            <w:tcBorders>
              <w:top w:val="nil"/>
              <w:left w:val="nil"/>
              <w:bottom w:val="nil"/>
              <w:right w:val="nil"/>
            </w:tcBorders>
            <w:shd w:val="clear" w:color="auto" w:fill="auto"/>
            <w:noWrap/>
            <w:vAlign w:val="bottom"/>
            <w:hideMark/>
          </w:tcPr>
          <w:p w14:paraId="3D78F514" w14:textId="77777777" w:rsidR="007A52A3" w:rsidRPr="00214121" w:rsidRDefault="007A52A3" w:rsidP="00214121">
            <w:pPr>
              <w:rPr>
                <w:rFonts w:ascii="Arial" w:hAnsi="Arial"/>
                <w:color w:val="000000"/>
                <w:sz w:val="22"/>
                <w:szCs w:val="22"/>
                <w:lang w:val="en-US"/>
              </w:rPr>
            </w:pPr>
          </w:p>
        </w:tc>
        <w:tc>
          <w:tcPr>
            <w:tcW w:w="710" w:type="pct"/>
            <w:tcBorders>
              <w:top w:val="nil"/>
              <w:left w:val="nil"/>
              <w:bottom w:val="nil"/>
              <w:right w:val="nil"/>
            </w:tcBorders>
            <w:shd w:val="clear" w:color="auto" w:fill="auto"/>
            <w:noWrap/>
            <w:vAlign w:val="bottom"/>
            <w:hideMark/>
          </w:tcPr>
          <w:p w14:paraId="645EC2CD" w14:textId="77777777" w:rsidR="007A52A3" w:rsidRPr="00214121" w:rsidRDefault="007A52A3" w:rsidP="00214121">
            <w:pPr>
              <w:rPr>
                <w:rFonts w:ascii="Arial" w:hAnsi="Arial"/>
                <w:sz w:val="22"/>
                <w:szCs w:val="22"/>
                <w:lang w:val="en-US"/>
              </w:rPr>
            </w:pPr>
          </w:p>
        </w:tc>
        <w:tc>
          <w:tcPr>
            <w:tcW w:w="569" w:type="pct"/>
            <w:tcBorders>
              <w:top w:val="nil"/>
              <w:left w:val="nil"/>
              <w:bottom w:val="nil"/>
              <w:right w:val="nil"/>
            </w:tcBorders>
            <w:shd w:val="clear" w:color="auto" w:fill="auto"/>
            <w:noWrap/>
            <w:vAlign w:val="bottom"/>
            <w:hideMark/>
          </w:tcPr>
          <w:p w14:paraId="226417B4"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74EE1713"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6CF82711" w14:textId="77777777" w:rsidR="007A52A3" w:rsidRPr="00214121" w:rsidRDefault="007A52A3" w:rsidP="00214121">
            <w:pPr>
              <w:jc w:val="cente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06FF9810"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13,002 </w:t>
            </w:r>
          </w:p>
        </w:tc>
      </w:tr>
      <w:tr w:rsidR="007A52A3" w:rsidRPr="00214121" w14:paraId="098243DC" w14:textId="77777777" w:rsidTr="00B9592E">
        <w:trPr>
          <w:trHeight w:val="300"/>
        </w:trPr>
        <w:tc>
          <w:tcPr>
            <w:tcW w:w="937" w:type="pct"/>
            <w:tcBorders>
              <w:top w:val="nil"/>
              <w:left w:val="nil"/>
              <w:bottom w:val="nil"/>
              <w:right w:val="nil"/>
            </w:tcBorders>
            <w:shd w:val="clear" w:color="auto" w:fill="auto"/>
            <w:noWrap/>
            <w:vAlign w:val="bottom"/>
            <w:hideMark/>
          </w:tcPr>
          <w:p w14:paraId="46671E9B"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Freight </w:t>
            </w:r>
          </w:p>
        </w:tc>
        <w:tc>
          <w:tcPr>
            <w:tcW w:w="864" w:type="pct"/>
            <w:tcBorders>
              <w:top w:val="nil"/>
              <w:left w:val="nil"/>
              <w:bottom w:val="nil"/>
              <w:right w:val="nil"/>
            </w:tcBorders>
            <w:shd w:val="clear" w:color="auto" w:fill="auto"/>
            <w:noWrap/>
            <w:vAlign w:val="bottom"/>
            <w:hideMark/>
          </w:tcPr>
          <w:p w14:paraId="7D0E0DA0" w14:textId="77777777" w:rsidR="007A52A3" w:rsidRPr="00214121" w:rsidRDefault="007A52A3" w:rsidP="00214121">
            <w:pPr>
              <w:rPr>
                <w:rFonts w:ascii="Arial" w:hAnsi="Arial"/>
                <w:color w:val="000000"/>
                <w:sz w:val="22"/>
                <w:szCs w:val="22"/>
                <w:lang w:val="en-US"/>
              </w:rPr>
            </w:pPr>
          </w:p>
        </w:tc>
        <w:tc>
          <w:tcPr>
            <w:tcW w:w="710" w:type="pct"/>
            <w:tcBorders>
              <w:top w:val="nil"/>
              <w:left w:val="nil"/>
              <w:bottom w:val="nil"/>
              <w:right w:val="nil"/>
            </w:tcBorders>
            <w:shd w:val="clear" w:color="auto" w:fill="auto"/>
            <w:noWrap/>
            <w:vAlign w:val="bottom"/>
            <w:hideMark/>
          </w:tcPr>
          <w:p w14:paraId="1F2DB3DB" w14:textId="77777777" w:rsidR="007A52A3" w:rsidRPr="00214121" w:rsidRDefault="007A52A3" w:rsidP="00214121">
            <w:pPr>
              <w:rPr>
                <w:rFonts w:ascii="Arial" w:hAnsi="Arial"/>
                <w:sz w:val="22"/>
                <w:szCs w:val="22"/>
                <w:lang w:val="en-US"/>
              </w:rPr>
            </w:pPr>
          </w:p>
        </w:tc>
        <w:tc>
          <w:tcPr>
            <w:tcW w:w="569" w:type="pct"/>
            <w:tcBorders>
              <w:top w:val="nil"/>
              <w:left w:val="nil"/>
              <w:bottom w:val="nil"/>
              <w:right w:val="nil"/>
            </w:tcBorders>
            <w:shd w:val="clear" w:color="auto" w:fill="auto"/>
            <w:noWrap/>
            <w:vAlign w:val="bottom"/>
            <w:hideMark/>
          </w:tcPr>
          <w:p w14:paraId="37598E6F"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01BA02CF"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580A6171"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351,104 </w:t>
            </w:r>
          </w:p>
        </w:tc>
        <w:tc>
          <w:tcPr>
            <w:tcW w:w="640" w:type="pct"/>
            <w:tcBorders>
              <w:top w:val="nil"/>
              <w:left w:val="nil"/>
              <w:bottom w:val="nil"/>
              <w:right w:val="nil"/>
            </w:tcBorders>
            <w:shd w:val="clear" w:color="auto" w:fill="auto"/>
            <w:noWrap/>
            <w:vAlign w:val="bottom"/>
            <w:hideMark/>
          </w:tcPr>
          <w:p w14:paraId="21490645" w14:textId="77777777" w:rsidR="007A52A3" w:rsidRPr="00214121" w:rsidRDefault="007A52A3" w:rsidP="00214121">
            <w:pPr>
              <w:jc w:val="right"/>
              <w:rPr>
                <w:rFonts w:ascii="Arial" w:hAnsi="Arial"/>
                <w:color w:val="000000"/>
                <w:sz w:val="22"/>
                <w:szCs w:val="22"/>
                <w:lang w:val="en-US"/>
              </w:rPr>
            </w:pPr>
          </w:p>
        </w:tc>
      </w:tr>
      <w:tr w:rsidR="007A52A3" w:rsidRPr="00214121" w14:paraId="1FD0B533" w14:textId="77777777" w:rsidTr="00B9592E">
        <w:trPr>
          <w:trHeight w:val="300"/>
        </w:trPr>
        <w:tc>
          <w:tcPr>
            <w:tcW w:w="1801" w:type="pct"/>
            <w:gridSpan w:val="2"/>
            <w:tcBorders>
              <w:top w:val="nil"/>
              <w:left w:val="nil"/>
              <w:bottom w:val="nil"/>
              <w:right w:val="nil"/>
            </w:tcBorders>
            <w:shd w:val="clear" w:color="auto" w:fill="auto"/>
            <w:noWrap/>
            <w:vAlign w:val="bottom"/>
            <w:hideMark/>
          </w:tcPr>
          <w:p w14:paraId="65720AA3" w14:textId="607087A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Director</w:t>
            </w:r>
            <w:r w:rsidR="00130CB2">
              <w:rPr>
                <w:rFonts w:ascii="Arial" w:hAnsi="Arial"/>
                <w:color w:val="000000"/>
                <w:sz w:val="22"/>
                <w:szCs w:val="22"/>
                <w:lang w:val="en-US"/>
              </w:rPr>
              <w:t>’</w:t>
            </w:r>
            <w:r w:rsidRPr="00214121">
              <w:rPr>
                <w:rFonts w:ascii="Arial" w:hAnsi="Arial"/>
                <w:color w:val="000000"/>
                <w:sz w:val="22"/>
                <w:szCs w:val="22"/>
                <w:lang w:val="en-US"/>
              </w:rPr>
              <w:t xml:space="preserve">s remuneration </w:t>
            </w:r>
          </w:p>
        </w:tc>
        <w:tc>
          <w:tcPr>
            <w:tcW w:w="710" w:type="pct"/>
            <w:tcBorders>
              <w:top w:val="nil"/>
              <w:left w:val="nil"/>
              <w:bottom w:val="nil"/>
              <w:right w:val="nil"/>
            </w:tcBorders>
            <w:shd w:val="clear" w:color="auto" w:fill="auto"/>
            <w:noWrap/>
            <w:vAlign w:val="bottom"/>
            <w:hideMark/>
          </w:tcPr>
          <w:p w14:paraId="630F0680" w14:textId="77777777" w:rsidR="007A52A3" w:rsidRPr="00214121" w:rsidRDefault="007A52A3" w:rsidP="00214121">
            <w:pPr>
              <w:rPr>
                <w:rFonts w:ascii="Arial" w:hAnsi="Arial"/>
                <w:color w:val="000000"/>
                <w:sz w:val="22"/>
                <w:szCs w:val="22"/>
                <w:lang w:val="en-US"/>
              </w:rPr>
            </w:pPr>
          </w:p>
        </w:tc>
        <w:tc>
          <w:tcPr>
            <w:tcW w:w="569" w:type="pct"/>
            <w:tcBorders>
              <w:top w:val="nil"/>
              <w:left w:val="nil"/>
              <w:bottom w:val="nil"/>
              <w:right w:val="nil"/>
            </w:tcBorders>
            <w:shd w:val="clear" w:color="auto" w:fill="auto"/>
            <w:noWrap/>
            <w:vAlign w:val="bottom"/>
            <w:hideMark/>
          </w:tcPr>
          <w:p w14:paraId="52793CEF"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10236DE6"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3A3BD890"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18,012 </w:t>
            </w:r>
          </w:p>
        </w:tc>
        <w:tc>
          <w:tcPr>
            <w:tcW w:w="640" w:type="pct"/>
            <w:tcBorders>
              <w:top w:val="nil"/>
              <w:left w:val="nil"/>
              <w:bottom w:val="nil"/>
              <w:right w:val="nil"/>
            </w:tcBorders>
            <w:shd w:val="clear" w:color="auto" w:fill="auto"/>
            <w:noWrap/>
            <w:vAlign w:val="bottom"/>
            <w:hideMark/>
          </w:tcPr>
          <w:p w14:paraId="24EFD525" w14:textId="77777777" w:rsidR="007A52A3" w:rsidRPr="00214121" w:rsidRDefault="007A52A3" w:rsidP="00214121">
            <w:pPr>
              <w:jc w:val="right"/>
              <w:rPr>
                <w:rFonts w:ascii="Arial" w:hAnsi="Arial"/>
                <w:color w:val="000000"/>
                <w:sz w:val="22"/>
                <w:szCs w:val="22"/>
                <w:lang w:val="en-US"/>
              </w:rPr>
            </w:pPr>
          </w:p>
        </w:tc>
      </w:tr>
      <w:tr w:rsidR="007A52A3" w:rsidRPr="00214121" w14:paraId="2D40A1EF" w14:textId="77777777" w:rsidTr="00B9592E">
        <w:trPr>
          <w:trHeight w:val="300"/>
        </w:trPr>
        <w:tc>
          <w:tcPr>
            <w:tcW w:w="2511" w:type="pct"/>
            <w:gridSpan w:val="3"/>
            <w:tcBorders>
              <w:top w:val="nil"/>
              <w:left w:val="nil"/>
              <w:bottom w:val="nil"/>
              <w:right w:val="nil"/>
            </w:tcBorders>
            <w:shd w:val="clear" w:color="auto" w:fill="auto"/>
            <w:noWrap/>
            <w:vAlign w:val="bottom"/>
            <w:hideMark/>
          </w:tcPr>
          <w:p w14:paraId="24C42751" w14:textId="2B276EF3"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Employer NIC on director</w:t>
            </w:r>
            <w:r w:rsidR="00130CB2">
              <w:rPr>
                <w:rFonts w:ascii="Arial" w:hAnsi="Arial"/>
                <w:color w:val="000000"/>
                <w:sz w:val="22"/>
                <w:szCs w:val="22"/>
                <w:lang w:val="en-US"/>
              </w:rPr>
              <w:t>’</w:t>
            </w:r>
            <w:r w:rsidRPr="00214121">
              <w:rPr>
                <w:rFonts w:ascii="Arial" w:hAnsi="Arial"/>
                <w:color w:val="000000"/>
                <w:sz w:val="22"/>
                <w:szCs w:val="22"/>
                <w:lang w:val="en-US"/>
              </w:rPr>
              <w:t xml:space="preserve">s remuneration </w:t>
            </w:r>
          </w:p>
        </w:tc>
        <w:tc>
          <w:tcPr>
            <w:tcW w:w="569" w:type="pct"/>
            <w:tcBorders>
              <w:top w:val="nil"/>
              <w:left w:val="nil"/>
              <w:bottom w:val="nil"/>
              <w:right w:val="nil"/>
            </w:tcBorders>
            <w:shd w:val="clear" w:color="auto" w:fill="auto"/>
            <w:noWrap/>
            <w:vAlign w:val="bottom"/>
            <w:hideMark/>
          </w:tcPr>
          <w:p w14:paraId="14251456" w14:textId="77777777" w:rsidR="007A52A3" w:rsidRPr="00214121" w:rsidRDefault="007A52A3" w:rsidP="00214121">
            <w:pPr>
              <w:rPr>
                <w:rFonts w:ascii="Arial" w:hAnsi="Arial"/>
                <w:color w:val="000000"/>
                <w:sz w:val="22"/>
                <w:szCs w:val="22"/>
                <w:lang w:val="en-US"/>
              </w:rPr>
            </w:pPr>
          </w:p>
        </w:tc>
        <w:tc>
          <w:tcPr>
            <w:tcW w:w="640" w:type="pct"/>
            <w:tcBorders>
              <w:top w:val="nil"/>
              <w:left w:val="nil"/>
              <w:bottom w:val="nil"/>
              <w:right w:val="nil"/>
            </w:tcBorders>
            <w:shd w:val="clear" w:color="auto" w:fill="auto"/>
            <w:noWrap/>
            <w:vAlign w:val="bottom"/>
            <w:hideMark/>
          </w:tcPr>
          <w:p w14:paraId="6D89ECC6"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5F4D5759"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1,449 </w:t>
            </w:r>
          </w:p>
        </w:tc>
        <w:tc>
          <w:tcPr>
            <w:tcW w:w="640" w:type="pct"/>
            <w:tcBorders>
              <w:top w:val="nil"/>
              <w:left w:val="nil"/>
              <w:bottom w:val="nil"/>
              <w:right w:val="nil"/>
            </w:tcBorders>
            <w:shd w:val="clear" w:color="auto" w:fill="auto"/>
            <w:noWrap/>
            <w:vAlign w:val="bottom"/>
            <w:hideMark/>
          </w:tcPr>
          <w:p w14:paraId="351CCF11" w14:textId="77777777" w:rsidR="007A52A3" w:rsidRPr="00214121" w:rsidRDefault="007A52A3" w:rsidP="00214121">
            <w:pPr>
              <w:jc w:val="right"/>
              <w:rPr>
                <w:rFonts w:ascii="Arial" w:hAnsi="Arial"/>
                <w:color w:val="000000"/>
                <w:sz w:val="22"/>
                <w:szCs w:val="22"/>
                <w:lang w:val="en-US"/>
              </w:rPr>
            </w:pPr>
          </w:p>
        </w:tc>
      </w:tr>
      <w:tr w:rsidR="007A52A3" w:rsidRPr="00214121" w14:paraId="665931F4" w14:textId="77777777" w:rsidTr="00B9592E">
        <w:trPr>
          <w:trHeight w:val="300"/>
        </w:trPr>
        <w:tc>
          <w:tcPr>
            <w:tcW w:w="937" w:type="pct"/>
            <w:tcBorders>
              <w:top w:val="nil"/>
              <w:left w:val="nil"/>
              <w:bottom w:val="nil"/>
              <w:right w:val="nil"/>
            </w:tcBorders>
            <w:shd w:val="clear" w:color="auto" w:fill="auto"/>
            <w:noWrap/>
            <w:vAlign w:val="bottom"/>
            <w:hideMark/>
          </w:tcPr>
          <w:p w14:paraId="239110BD"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Staff salaries </w:t>
            </w:r>
          </w:p>
        </w:tc>
        <w:tc>
          <w:tcPr>
            <w:tcW w:w="864" w:type="pct"/>
            <w:tcBorders>
              <w:top w:val="nil"/>
              <w:left w:val="nil"/>
              <w:bottom w:val="nil"/>
              <w:right w:val="nil"/>
            </w:tcBorders>
            <w:shd w:val="clear" w:color="auto" w:fill="auto"/>
            <w:noWrap/>
            <w:vAlign w:val="bottom"/>
            <w:hideMark/>
          </w:tcPr>
          <w:p w14:paraId="0F3BDE02" w14:textId="77777777" w:rsidR="007A52A3" w:rsidRPr="00214121" w:rsidRDefault="007A52A3" w:rsidP="00214121">
            <w:pPr>
              <w:rPr>
                <w:rFonts w:ascii="Arial" w:hAnsi="Arial"/>
                <w:color w:val="000000"/>
                <w:sz w:val="22"/>
                <w:szCs w:val="22"/>
                <w:lang w:val="en-US"/>
              </w:rPr>
            </w:pPr>
          </w:p>
        </w:tc>
        <w:tc>
          <w:tcPr>
            <w:tcW w:w="710" w:type="pct"/>
            <w:tcBorders>
              <w:top w:val="nil"/>
              <w:left w:val="nil"/>
              <w:bottom w:val="nil"/>
              <w:right w:val="nil"/>
            </w:tcBorders>
            <w:shd w:val="clear" w:color="auto" w:fill="auto"/>
            <w:noWrap/>
            <w:vAlign w:val="bottom"/>
            <w:hideMark/>
          </w:tcPr>
          <w:p w14:paraId="06C0A0D0" w14:textId="77777777" w:rsidR="007A52A3" w:rsidRPr="00214121" w:rsidRDefault="007A52A3" w:rsidP="00214121">
            <w:pPr>
              <w:rPr>
                <w:rFonts w:ascii="Arial" w:hAnsi="Arial"/>
                <w:sz w:val="22"/>
                <w:szCs w:val="22"/>
                <w:lang w:val="en-US"/>
              </w:rPr>
            </w:pPr>
          </w:p>
        </w:tc>
        <w:tc>
          <w:tcPr>
            <w:tcW w:w="569" w:type="pct"/>
            <w:tcBorders>
              <w:top w:val="nil"/>
              <w:left w:val="nil"/>
              <w:bottom w:val="nil"/>
              <w:right w:val="nil"/>
            </w:tcBorders>
            <w:shd w:val="clear" w:color="auto" w:fill="auto"/>
            <w:noWrap/>
            <w:vAlign w:val="bottom"/>
            <w:hideMark/>
          </w:tcPr>
          <w:p w14:paraId="26E5F3E0"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5EC9A793"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792E8C03"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142,604 </w:t>
            </w:r>
          </w:p>
        </w:tc>
        <w:tc>
          <w:tcPr>
            <w:tcW w:w="640" w:type="pct"/>
            <w:tcBorders>
              <w:top w:val="nil"/>
              <w:left w:val="nil"/>
              <w:bottom w:val="nil"/>
              <w:right w:val="nil"/>
            </w:tcBorders>
            <w:shd w:val="clear" w:color="auto" w:fill="auto"/>
            <w:noWrap/>
            <w:vAlign w:val="bottom"/>
            <w:hideMark/>
          </w:tcPr>
          <w:p w14:paraId="09BE5896" w14:textId="77777777" w:rsidR="007A52A3" w:rsidRPr="00214121" w:rsidRDefault="007A52A3" w:rsidP="00214121">
            <w:pPr>
              <w:jc w:val="right"/>
              <w:rPr>
                <w:rFonts w:ascii="Arial" w:hAnsi="Arial"/>
                <w:color w:val="000000"/>
                <w:sz w:val="22"/>
                <w:szCs w:val="22"/>
                <w:lang w:val="en-US"/>
              </w:rPr>
            </w:pPr>
          </w:p>
        </w:tc>
      </w:tr>
      <w:tr w:rsidR="007A52A3" w:rsidRPr="00214121" w14:paraId="7CB8D53F" w14:textId="77777777" w:rsidTr="00B9592E">
        <w:trPr>
          <w:trHeight w:val="300"/>
        </w:trPr>
        <w:tc>
          <w:tcPr>
            <w:tcW w:w="937" w:type="pct"/>
            <w:tcBorders>
              <w:top w:val="nil"/>
              <w:left w:val="nil"/>
              <w:bottom w:val="nil"/>
              <w:right w:val="nil"/>
            </w:tcBorders>
            <w:shd w:val="clear" w:color="auto" w:fill="auto"/>
            <w:noWrap/>
            <w:vAlign w:val="bottom"/>
            <w:hideMark/>
          </w:tcPr>
          <w:p w14:paraId="06DE5814"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Advertising </w:t>
            </w:r>
          </w:p>
        </w:tc>
        <w:tc>
          <w:tcPr>
            <w:tcW w:w="864" w:type="pct"/>
            <w:tcBorders>
              <w:top w:val="nil"/>
              <w:left w:val="nil"/>
              <w:bottom w:val="nil"/>
              <w:right w:val="nil"/>
            </w:tcBorders>
            <w:shd w:val="clear" w:color="auto" w:fill="auto"/>
            <w:noWrap/>
            <w:vAlign w:val="bottom"/>
            <w:hideMark/>
          </w:tcPr>
          <w:p w14:paraId="1AE5A31A" w14:textId="77777777" w:rsidR="007A52A3" w:rsidRPr="00214121" w:rsidRDefault="007A52A3" w:rsidP="00214121">
            <w:pPr>
              <w:rPr>
                <w:rFonts w:ascii="Arial" w:hAnsi="Arial"/>
                <w:color w:val="000000"/>
                <w:sz w:val="22"/>
                <w:szCs w:val="22"/>
                <w:lang w:val="en-US"/>
              </w:rPr>
            </w:pPr>
          </w:p>
        </w:tc>
        <w:tc>
          <w:tcPr>
            <w:tcW w:w="710" w:type="pct"/>
            <w:tcBorders>
              <w:top w:val="nil"/>
              <w:left w:val="nil"/>
              <w:bottom w:val="nil"/>
              <w:right w:val="nil"/>
            </w:tcBorders>
            <w:shd w:val="clear" w:color="auto" w:fill="auto"/>
            <w:noWrap/>
            <w:vAlign w:val="bottom"/>
            <w:hideMark/>
          </w:tcPr>
          <w:p w14:paraId="76AED9E2" w14:textId="77777777" w:rsidR="007A52A3" w:rsidRPr="00214121" w:rsidRDefault="007A52A3" w:rsidP="00214121">
            <w:pPr>
              <w:rPr>
                <w:rFonts w:ascii="Arial" w:hAnsi="Arial"/>
                <w:sz w:val="22"/>
                <w:szCs w:val="22"/>
                <w:lang w:val="en-US"/>
              </w:rPr>
            </w:pPr>
          </w:p>
        </w:tc>
        <w:tc>
          <w:tcPr>
            <w:tcW w:w="569" w:type="pct"/>
            <w:tcBorders>
              <w:top w:val="nil"/>
              <w:left w:val="nil"/>
              <w:bottom w:val="nil"/>
              <w:right w:val="nil"/>
            </w:tcBorders>
            <w:shd w:val="clear" w:color="auto" w:fill="auto"/>
            <w:noWrap/>
            <w:vAlign w:val="bottom"/>
            <w:hideMark/>
          </w:tcPr>
          <w:p w14:paraId="2CE9B135"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1C400CB5"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6034360C"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5,692 </w:t>
            </w:r>
          </w:p>
        </w:tc>
        <w:tc>
          <w:tcPr>
            <w:tcW w:w="640" w:type="pct"/>
            <w:tcBorders>
              <w:top w:val="nil"/>
              <w:left w:val="nil"/>
              <w:bottom w:val="nil"/>
              <w:right w:val="nil"/>
            </w:tcBorders>
            <w:shd w:val="clear" w:color="auto" w:fill="auto"/>
            <w:noWrap/>
            <w:vAlign w:val="bottom"/>
            <w:hideMark/>
          </w:tcPr>
          <w:p w14:paraId="4E0A5056" w14:textId="77777777" w:rsidR="007A52A3" w:rsidRPr="00214121" w:rsidRDefault="007A52A3" w:rsidP="00214121">
            <w:pPr>
              <w:jc w:val="right"/>
              <w:rPr>
                <w:rFonts w:ascii="Arial" w:hAnsi="Arial"/>
                <w:color w:val="000000"/>
                <w:sz w:val="22"/>
                <w:szCs w:val="22"/>
                <w:lang w:val="en-US"/>
              </w:rPr>
            </w:pPr>
          </w:p>
        </w:tc>
      </w:tr>
      <w:tr w:rsidR="007A52A3" w:rsidRPr="00214121" w14:paraId="7D3D0EBF" w14:textId="77777777" w:rsidTr="00B9592E">
        <w:trPr>
          <w:trHeight w:val="300"/>
        </w:trPr>
        <w:tc>
          <w:tcPr>
            <w:tcW w:w="937" w:type="pct"/>
            <w:tcBorders>
              <w:top w:val="nil"/>
              <w:left w:val="nil"/>
              <w:bottom w:val="nil"/>
              <w:right w:val="nil"/>
            </w:tcBorders>
            <w:shd w:val="clear" w:color="auto" w:fill="auto"/>
            <w:noWrap/>
            <w:vAlign w:val="bottom"/>
            <w:hideMark/>
          </w:tcPr>
          <w:p w14:paraId="59D9C234"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Travelling </w:t>
            </w:r>
          </w:p>
        </w:tc>
        <w:tc>
          <w:tcPr>
            <w:tcW w:w="864" w:type="pct"/>
            <w:tcBorders>
              <w:top w:val="nil"/>
              <w:left w:val="nil"/>
              <w:bottom w:val="nil"/>
              <w:right w:val="nil"/>
            </w:tcBorders>
            <w:shd w:val="clear" w:color="auto" w:fill="auto"/>
            <w:noWrap/>
            <w:vAlign w:val="bottom"/>
            <w:hideMark/>
          </w:tcPr>
          <w:p w14:paraId="11FC2986" w14:textId="77777777" w:rsidR="007A52A3" w:rsidRPr="00214121" w:rsidRDefault="007A52A3" w:rsidP="00214121">
            <w:pPr>
              <w:rPr>
                <w:rFonts w:ascii="Arial" w:hAnsi="Arial"/>
                <w:color w:val="000000"/>
                <w:sz w:val="22"/>
                <w:szCs w:val="22"/>
                <w:lang w:val="en-US"/>
              </w:rPr>
            </w:pPr>
          </w:p>
        </w:tc>
        <w:tc>
          <w:tcPr>
            <w:tcW w:w="710" w:type="pct"/>
            <w:tcBorders>
              <w:top w:val="nil"/>
              <w:left w:val="nil"/>
              <w:bottom w:val="nil"/>
              <w:right w:val="nil"/>
            </w:tcBorders>
            <w:shd w:val="clear" w:color="auto" w:fill="auto"/>
            <w:noWrap/>
            <w:vAlign w:val="bottom"/>
            <w:hideMark/>
          </w:tcPr>
          <w:p w14:paraId="11D1AAFC" w14:textId="77777777" w:rsidR="007A52A3" w:rsidRPr="00214121" w:rsidRDefault="007A52A3" w:rsidP="00214121">
            <w:pPr>
              <w:rPr>
                <w:rFonts w:ascii="Arial" w:hAnsi="Arial"/>
                <w:sz w:val="22"/>
                <w:szCs w:val="22"/>
                <w:lang w:val="en-US"/>
              </w:rPr>
            </w:pPr>
          </w:p>
        </w:tc>
        <w:tc>
          <w:tcPr>
            <w:tcW w:w="569" w:type="pct"/>
            <w:tcBorders>
              <w:top w:val="nil"/>
              <w:left w:val="nil"/>
              <w:bottom w:val="nil"/>
              <w:right w:val="nil"/>
            </w:tcBorders>
            <w:shd w:val="clear" w:color="auto" w:fill="auto"/>
            <w:noWrap/>
            <w:vAlign w:val="bottom"/>
            <w:hideMark/>
          </w:tcPr>
          <w:p w14:paraId="33994CF4"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1B2A0A74"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36DFC781"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25,214 </w:t>
            </w:r>
          </w:p>
        </w:tc>
        <w:tc>
          <w:tcPr>
            <w:tcW w:w="640" w:type="pct"/>
            <w:tcBorders>
              <w:top w:val="nil"/>
              <w:left w:val="nil"/>
              <w:bottom w:val="nil"/>
              <w:right w:val="nil"/>
            </w:tcBorders>
            <w:shd w:val="clear" w:color="auto" w:fill="auto"/>
            <w:noWrap/>
            <w:vAlign w:val="bottom"/>
            <w:hideMark/>
          </w:tcPr>
          <w:p w14:paraId="41F55EA7" w14:textId="77777777" w:rsidR="007A52A3" w:rsidRPr="00214121" w:rsidRDefault="007A52A3" w:rsidP="00214121">
            <w:pPr>
              <w:jc w:val="right"/>
              <w:rPr>
                <w:rFonts w:ascii="Arial" w:hAnsi="Arial"/>
                <w:color w:val="000000"/>
                <w:sz w:val="22"/>
                <w:szCs w:val="22"/>
                <w:lang w:val="en-US"/>
              </w:rPr>
            </w:pPr>
          </w:p>
        </w:tc>
      </w:tr>
      <w:tr w:rsidR="007A52A3" w:rsidRPr="00214121" w14:paraId="4F48C204" w14:textId="77777777" w:rsidTr="00B9592E">
        <w:trPr>
          <w:trHeight w:val="300"/>
        </w:trPr>
        <w:tc>
          <w:tcPr>
            <w:tcW w:w="1801" w:type="pct"/>
            <w:gridSpan w:val="2"/>
            <w:tcBorders>
              <w:top w:val="nil"/>
              <w:left w:val="nil"/>
              <w:bottom w:val="nil"/>
              <w:right w:val="nil"/>
            </w:tcBorders>
            <w:shd w:val="clear" w:color="auto" w:fill="auto"/>
            <w:noWrap/>
            <w:vAlign w:val="bottom"/>
            <w:hideMark/>
          </w:tcPr>
          <w:p w14:paraId="2A6BACAD"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Accountancy and bookkeeping </w:t>
            </w:r>
          </w:p>
        </w:tc>
        <w:tc>
          <w:tcPr>
            <w:tcW w:w="710" w:type="pct"/>
            <w:tcBorders>
              <w:top w:val="nil"/>
              <w:left w:val="nil"/>
              <w:bottom w:val="nil"/>
              <w:right w:val="nil"/>
            </w:tcBorders>
            <w:shd w:val="clear" w:color="auto" w:fill="auto"/>
            <w:noWrap/>
            <w:vAlign w:val="bottom"/>
            <w:hideMark/>
          </w:tcPr>
          <w:p w14:paraId="7FCC22EA" w14:textId="77777777" w:rsidR="007A52A3" w:rsidRPr="00214121" w:rsidRDefault="007A52A3" w:rsidP="00214121">
            <w:pPr>
              <w:rPr>
                <w:rFonts w:ascii="Arial" w:hAnsi="Arial"/>
                <w:color w:val="000000"/>
                <w:sz w:val="22"/>
                <w:szCs w:val="22"/>
                <w:lang w:val="en-US"/>
              </w:rPr>
            </w:pPr>
          </w:p>
        </w:tc>
        <w:tc>
          <w:tcPr>
            <w:tcW w:w="569" w:type="pct"/>
            <w:tcBorders>
              <w:top w:val="nil"/>
              <w:left w:val="nil"/>
              <w:bottom w:val="nil"/>
              <w:right w:val="nil"/>
            </w:tcBorders>
            <w:shd w:val="clear" w:color="auto" w:fill="auto"/>
            <w:noWrap/>
            <w:vAlign w:val="bottom"/>
            <w:hideMark/>
          </w:tcPr>
          <w:p w14:paraId="55646271"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07217793"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29F4F2CF"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8,500 </w:t>
            </w:r>
          </w:p>
        </w:tc>
        <w:tc>
          <w:tcPr>
            <w:tcW w:w="640" w:type="pct"/>
            <w:tcBorders>
              <w:top w:val="nil"/>
              <w:left w:val="nil"/>
              <w:bottom w:val="nil"/>
              <w:right w:val="nil"/>
            </w:tcBorders>
            <w:shd w:val="clear" w:color="auto" w:fill="auto"/>
            <w:noWrap/>
            <w:vAlign w:val="bottom"/>
            <w:hideMark/>
          </w:tcPr>
          <w:p w14:paraId="3513AFB7" w14:textId="77777777" w:rsidR="007A52A3" w:rsidRPr="00214121" w:rsidRDefault="007A52A3" w:rsidP="00214121">
            <w:pPr>
              <w:jc w:val="right"/>
              <w:rPr>
                <w:rFonts w:ascii="Arial" w:hAnsi="Arial"/>
                <w:color w:val="000000"/>
                <w:sz w:val="22"/>
                <w:szCs w:val="22"/>
                <w:lang w:val="en-US"/>
              </w:rPr>
            </w:pPr>
          </w:p>
        </w:tc>
      </w:tr>
      <w:tr w:rsidR="007A52A3" w:rsidRPr="00214121" w14:paraId="24DF75DF" w14:textId="77777777" w:rsidTr="00B9592E">
        <w:trPr>
          <w:trHeight w:val="300"/>
        </w:trPr>
        <w:tc>
          <w:tcPr>
            <w:tcW w:w="937" w:type="pct"/>
            <w:tcBorders>
              <w:top w:val="nil"/>
              <w:left w:val="nil"/>
              <w:bottom w:val="nil"/>
              <w:right w:val="nil"/>
            </w:tcBorders>
            <w:shd w:val="clear" w:color="auto" w:fill="auto"/>
            <w:noWrap/>
            <w:vAlign w:val="bottom"/>
            <w:hideMark/>
          </w:tcPr>
          <w:p w14:paraId="3547F8AF"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Bank charges </w:t>
            </w:r>
          </w:p>
        </w:tc>
        <w:tc>
          <w:tcPr>
            <w:tcW w:w="864" w:type="pct"/>
            <w:tcBorders>
              <w:top w:val="nil"/>
              <w:left w:val="nil"/>
              <w:bottom w:val="nil"/>
              <w:right w:val="nil"/>
            </w:tcBorders>
            <w:shd w:val="clear" w:color="auto" w:fill="auto"/>
            <w:noWrap/>
            <w:vAlign w:val="bottom"/>
            <w:hideMark/>
          </w:tcPr>
          <w:p w14:paraId="251C1443" w14:textId="77777777" w:rsidR="007A52A3" w:rsidRPr="00214121" w:rsidRDefault="007A52A3" w:rsidP="00214121">
            <w:pPr>
              <w:rPr>
                <w:rFonts w:ascii="Arial" w:hAnsi="Arial"/>
                <w:color w:val="000000"/>
                <w:sz w:val="22"/>
                <w:szCs w:val="22"/>
                <w:lang w:val="en-US"/>
              </w:rPr>
            </w:pPr>
          </w:p>
        </w:tc>
        <w:tc>
          <w:tcPr>
            <w:tcW w:w="710" w:type="pct"/>
            <w:tcBorders>
              <w:top w:val="nil"/>
              <w:left w:val="nil"/>
              <w:bottom w:val="nil"/>
              <w:right w:val="nil"/>
            </w:tcBorders>
            <w:shd w:val="clear" w:color="auto" w:fill="auto"/>
            <w:noWrap/>
            <w:vAlign w:val="bottom"/>
            <w:hideMark/>
          </w:tcPr>
          <w:p w14:paraId="41421B24" w14:textId="77777777" w:rsidR="007A52A3" w:rsidRPr="00214121" w:rsidRDefault="007A52A3" w:rsidP="00214121">
            <w:pPr>
              <w:rPr>
                <w:rFonts w:ascii="Arial" w:hAnsi="Arial"/>
                <w:sz w:val="22"/>
                <w:szCs w:val="22"/>
                <w:lang w:val="en-US"/>
              </w:rPr>
            </w:pPr>
          </w:p>
        </w:tc>
        <w:tc>
          <w:tcPr>
            <w:tcW w:w="569" w:type="pct"/>
            <w:tcBorders>
              <w:top w:val="nil"/>
              <w:left w:val="nil"/>
              <w:bottom w:val="nil"/>
              <w:right w:val="nil"/>
            </w:tcBorders>
            <w:shd w:val="clear" w:color="auto" w:fill="auto"/>
            <w:noWrap/>
            <w:vAlign w:val="bottom"/>
            <w:hideMark/>
          </w:tcPr>
          <w:p w14:paraId="201814E3"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56E61604"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53E77137"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2,334 </w:t>
            </w:r>
          </w:p>
        </w:tc>
        <w:tc>
          <w:tcPr>
            <w:tcW w:w="640" w:type="pct"/>
            <w:tcBorders>
              <w:top w:val="nil"/>
              <w:left w:val="nil"/>
              <w:bottom w:val="nil"/>
              <w:right w:val="nil"/>
            </w:tcBorders>
            <w:shd w:val="clear" w:color="auto" w:fill="auto"/>
            <w:noWrap/>
            <w:vAlign w:val="bottom"/>
            <w:hideMark/>
          </w:tcPr>
          <w:p w14:paraId="70EF3C0B" w14:textId="77777777" w:rsidR="007A52A3" w:rsidRPr="00214121" w:rsidRDefault="007A52A3" w:rsidP="00214121">
            <w:pPr>
              <w:jc w:val="right"/>
              <w:rPr>
                <w:rFonts w:ascii="Arial" w:hAnsi="Arial"/>
                <w:color w:val="000000"/>
                <w:sz w:val="22"/>
                <w:szCs w:val="22"/>
                <w:lang w:val="en-US"/>
              </w:rPr>
            </w:pPr>
          </w:p>
        </w:tc>
      </w:tr>
      <w:tr w:rsidR="007A52A3" w:rsidRPr="00214121" w14:paraId="770261D2" w14:textId="77777777" w:rsidTr="00B9592E">
        <w:trPr>
          <w:trHeight w:val="300"/>
        </w:trPr>
        <w:tc>
          <w:tcPr>
            <w:tcW w:w="1801" w:type="pct"/>
            <w:gridSpan w:val="2"/>
            <w:tcBorders>
              <w:top w:val="nil"/>
              <w:left w:val="nil"/>
              <w:bottom w:val="nil"/>
              <w:right w:val="nil"/>
            </w:tcBorders>
            <w:shd w:val="clear" w:color="auto" w:fill="auto"/>
            <w:noWrap/>
            <w:vAlign w:val="bottom"/>
            <w:hideMark/>
          </w:tcPr>
          <w:p w14:paraId="2BB9B9DD"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Depreciation charges </w:t>
            </w:r>
          </w:p>
        </w:tc>
        <w:tc>
          <w:tcPr>
            <w:tcW w:w="710" w:type="pct"/>
            <w:tcBorders>
              <w:top w:val="nil"/>
              <w:left w:val="nil"/>
              <w:bottom w:val="nil"/>
              <w:right w:val="nil"/>
            </w:tcBorders>
            <w:shd w:val="clear" w:color="auto" w:fill="auto"/>
            <w:noWrap/>
            <w:vAlign w:val="bottom"/>
            <w:hideMark/>
          </w:tcPr>
          <w:p w14:paraId="0F1C2290" w14:textId="77777777" w:rsidR="007A52A3" w:rsidRPr="00214121" w:rsidRDefault="007A52A3" w:rsidP="00214121">
            <w:pPr>
              <w:rPr>
                <w:rFonts w:ascii="Arial" w:hAnsi="Arial"/>
                <w:color w:val="000000"/>
                <w:sz w:val="22"/>
                <w:szCs w:val="22"/>
                <w:lang w:val="en-US"/>
              </w:rPr>
            </w:pPr>
          </w:p>
        </w:tc>
        <w:tc>
          <w:tcPr>
            <w:tcW w:w="569" w:type="pct"/>
            <w:tcBorders>
              <w:top w:val="nil"/>
              <w:left w:val="nil"/>
              <w:bottom w:val="nil"/>
              <w:right w:val="nil"/>
            </w:tcBorders>
            <w:shd w:val="clear" w:color="auto" w:fill="auto"/>
            <w:noWrap/>
            <w:vAlign w:val="bottom"/>
            <w:hideMark/>
          </w:tcPr>
          <w:p w14:paraId="4566A888"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0E5C486B"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0552F0A4"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94,716 </w:t>
            </w:r>
          </w:p>
        </w:tc>
        <w:tc>
          <w:tcPr>
            <w:tcW w:w="640" w:type="pct"/>
            <w:tcBorders>
              <w:top w:val="nil"/>
              <w:left w:val="nil"/>
              <w:bottom w:val="nil"/>
              <w:right w:val="nil"/>
            </w:tcBorders>
            <w:shd w:val="clear" w:color="auto" w:fill="auto"/>
            <w:noWrap/>
            <w:vAlign w:val="bottom"/>
            <w:hideMark/>
          </w:tcPr>
          <w:p w14:paraId="59E666CB" w14:textId="77777777" w:rsidR="007A52A3" w:rsidRPr="00214121" w:rsidRDefault="007A52A3" w:rsidP="00214121">
            <w:pPr>
              <w:jc w:val="right"/>
              <w:rPr>
                <w:rFonts w:ascii="Arial" w:hAnsi="Arial"/>
                <w:color w:val="000000"/>
                <w:sz w:val="22"/>
                <w:szCs w:val="22"/>
                <w:lang w:val="en-US"/>
              </w:rPr>
            </w:pPr>
          </w:p>
        </w:tc>
      </w:tr>
      <w:tr w:rsidR="007A52A3" w:rsidRPr="00214121" w14:paraId="0B207380" w14:textId="77777777" w:rsidTr="00B9592E">
        <w:trPr>
          <w:trHeight w:val="300"/>
        </w:trPr>
        <w:tc>
          <w:tcPr>
            <w:tcW w:w="937" w:type="pct"/>
            <w:tcBorders>
              <w:top w:val="nil"/>
              <w:left w:val="nil"/>
              <w:bottom w:val="nil"/>
              <w:right w:val="nil"/>
            </w:tcBorders>
            <w:shd w:val="clear" w:color="auto" w:fill="auto"/>
            <w:noWrap/>
            <w:vAlign w:val="bottom"/>
            <w:hideMark/>
          </w:tcPr>
          <w:p w14:paraId="316F9A98"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Tax</w:t>
            </w:r>
          </w:p>
        </w:tc>
        <w:tc>
          <w:tcPr>
            <w:tcW w:w="864" w:type="pct"/>
            <w:tcBorders>
              <w:top w:val="nil"/>
              <w:left w:val="nil"/>
              <w:bottom w:val="nil"/>
              <w:right w:val="nil"/>
            </w:tcBorders>
            <w:shd w:val="clear" w:color="auto" w:fill="auto"/>
            <w:noWrap/>
            <w:vAlign w:val="bottom"/>
            <w:hideMark/>
          </w:tcPr>
          <w:p w14:paraId="218A82E0" w14:textId="77777777" w:rsidR="007A52A3" w:rsidRPr="00214121" w:rsidRDefault="007A52A3" w:rsidP="00214121">
            <w:pPr>
              <w:rPr>
                <w:rFonts w:ascii="Arial" w:hAnsi="Arial"/>
                <w:color w:val="000000"/>
                <w:sz w:val="22"/>
                <w:szCs w:val="22"/>
                <w:lang w:val="en-US"/>
              </w:rPr>
            </w:pPr>
          </w:p>
        </w:tc>
        <w:tc>
          <w:tcPr>
            <w:tcW w:w="710" w:type="pct"/>
            <w:tcBorders>
              <w:top w:val="nil"/>
              <w:left w:val="nil"/>
              <w:bottom w:val="nil"/>
              <w:right w:val="nil"/>
            </w:tcBorders>
            <w:shd w:val="clear" w:color="auto" w:fill="auto"/>
            <w:noWrap/>
            <w:vAlign w:val="bottom"/>
            <w:hideMark/>
          </w:tcPr>
          <w:p w14:paraId="59CB940E" w14:textId="77777777" w:rsidR="007A52A3" w:rsidRPr="00214121" w:rsidRDefault="007A52A3" w:rsidP="00214121">
            <w:pPr>
              <w:rPr>
                <w:rFonts w:ascii="Arial" w:hAnsi="Arial"/>
                <w:sz w:val="22"/>
                <w:szCs w:val="22"/>
                <w:lang w:val="en-US"/>
              </w:rPr>
            </w:pPr>
          </w:p>
        </w:tc>
        <w:tc>
          <w:tcPr>
            <w:tcW w:w="569" w:type="pct"/>
            <w:tcBorders>
              <w:top w:val="nil"/>
              <w:left w:val="nil"/>
              <w:bottom w:val="nil"/>
              <w:right w:val="nil"/>
            </w:tcBorders>
            <w:shd w:val="clear" w:color="auto" w:fill="auto"/>
            <w:noWrap/>
            <w:vAlign w:val="bottom"/>
            <w:hideMark/>
          </w:tcPr>
          <w:p w14:paraId="71FBBE44"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61BF2718"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7D4BAF3D"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147,700 </w:t>
            </w:r>
          </w:p>
        </w:tc>
        <w:tc>
          <w:tcPr>
            <w:tcW w:w="640" w:type="pct"/>
            <w:tcBorders>
              <w:top w:val="nil"/>
              <w:left w:val="nil"/>
              <w:bottom w:val="nil"/>
              <w:right w:val="nil"/>
            </w:tcBorders>
            <w:shd w:val="clear" w:color="auto" w:fill="auto"/>
            <w:noWrap/>
            <w:vAlign w:val="bottom"/>
            <w:hideMark/>
          </w:tcPr>
          <w:p w14:paraId="5B8EAA19" w14:textId="77777777" w:rsidR="007A52A3" w:rsidRPr="00214121" w:rsidRDefault="007A52A3" w:rsidP="00214121">
            <w:pPr>
              <w:jc w:val="right"/>
              <w:rPr>
                <w:rFonts w:ascii="Arial" w:hAnsi="Arial"/>
                <w:color w:val="000000"/>
                <w:sz w:val="22"/>
                <w:szCs w:val="22"/>
                <w:lang w:val="en-US"/>
              </w:rPr>
            </w:pPr>
          </w:p>
        </w:tc>
      </w:tr>
      <w:tr w:rsidR="007A52A3" w:rsidRPr="00214121" w14:paraId="6993C370" w14:textId="77777777" w:rsidTr="00B9592E">
        <w:trPr>
          <w:trHeight w:val="320"/>
        </w:trPr>
        <w:tc>
          <w:tcPr>
            <w:tcW w:w="937" w:type="pct"/>
            <w:tcBorders>
              <w:top w:val="nil"/>
              <w:left w:val="nil"/>
              <w:bottom w:val="nil"/>
              <w:right w:val="nil"/>
            </w:tcBorders>
            <w:shd w:val="clear" w:color="auto" w:fill="auto"/>
            <w:noWrap/>
            <w:vAlign w:val="bottom"/>
            <w:hideMark/>
          </w:tcPr>
          <w:p w14:paraId="76FBB6FC" w14:textId="77777777" w:rsidR="007A52A3" w:rsidRPr="00214121" w:rsidRDefault="007A52A3" w:rsidP="00214121">
            <w:pPr>
              <w:jc w:val="right"/>
              <w:rPr>
                <w:rFonts w:ascii="Arial" w:hAnsi="Arial"/>
                <w:sz w:val="22"/>
                <w:szCs w:val="22"/>
                <w:lang w:val="en-US"/>
              </w:rPr>
            </w:pPr>
          </w:p>
        </w:tc>
        <w:tc>
          <w:tcPr>
            <w:tcW w:w="864" w:type="pct"/>
            <w:tcBorders>
              <w:top w:val="nil"/>
              <w:left w:val="nil"/>
              <w:bottom w:val="nil"/>
              <w:right w:val="nil"/>
            </w:tcBorders>
            <w:shd w:val="clear" w:color="auto" w:fill="auto"/>
            <w:noWrap/>
            <w:vAlign w:val="bottom"/>
            <w:hideMark/>
          </w:tcPr>
          <w:p w14:paraId="31A7D84F" w14:textId="77777777" w:rsidR="007A52A3" w:rsidRPr="00214121" w:rsidRDefault="007A52A3" w:rsidP="00214121">
            <w:pPr>
              <w:rPr>
                <w:rFonts w:ascii="Arial" w:hAnsi="Arial"/>
                <w:sz w:val="22"/>
                <w:szCs w:val="22"/>
                <w:lang w:val="en-US"/>
              </w:rPr>
            </w:pPr>
          </w:p>
        </w:tc>
        <w:tc>
          <w:tcPr>
            <w:tcW w:w="710" w:type="pct"/>
            <w:tcBorders>
              <w:top w:val="nil"/>
              <w:left w:val="nil"/>
              <w:bottom w:val="nil"/>
              <w:right w:val="nil"/>
            </w:tcBorders>
            <w:shd w:val="clear" w:color="auto" w:fill="auto"/>
            <w:noWrap/>
            <w:vAlign w:val="bottom"/>
            <w:hideMark/>
          </w:tcPr>
          <w:p w14:paraId="0F2224CC" w14:textId="77777777" w:rsidR="007A52A3" w:rsidRPr="00214121" w:rsidRDefault="007A52A3" w:rsidP="00214121">
            <w:pPr>
              <w:rPr>
                <w:rFonts w:ascii="Arial" w:hAnsi="Arial"/>
                <w:sz w:val="22"/>
                <w:szCs w:val="22"/>
                <w:lang w:val="en-US"/>
              </w:rPr>
            </w:pPr>
          </w:p>
        </w:tc>
        <w:tc>
          <w:tcPr>
            <w:tcW w:w="569" w:type="pct"/>
            <w:tcBorders>
              <w:top w:val="nil"/>
              <w:left w:val="nil"/>
              <w:bottom w:val="nil"/>
              <w:right w:val="nil"/>
            </w:tcBorders>
            <w:shd w:val="clear" w:color="auto" w:fill="auto"/>
            <w:noWrap/>
            <w:vAlign w:val="bottom"/>
            <w:hideMark/>
          </w:tcPr>
          <w:p w14:paraId="2BEA4E46" w14:textId="77777777" w:rsidR="007A52A3" w:rsidRPr="00214121" w:rsidRDefault="007A52A3" w:rsidP="00214121">
            <w:pPr>
              <w:rPr>
                <w:rFonts w:ascii="Arial" w:hAnsi="Arial"/>
                <w:sz w:val="22"/>
                <w:szCs w:val="22"/>
                <w:lang w:val="en-US"/>
              </w:rPr>
            </w:pPr>
          </w:p>
        </w:tc>
        <w:tc>
          <w:tcPr>
            <w:tcW w:w="640" w:type="pct"/>
            <w:tcBorders>
              <w:top w:val="nil"/>
              <w:left w:val="nil"/>
              <w:bottom w:val="nil"/>
              <w:right w:val="nil"/>
            </w:tcBorders>
            <w:shd w:val="clear" w:color="auto" w:fill="auto"/>
            <w:noWrap/>
            <w:vAlign w:val="bottom"/>
            <w:hideMark/>
          </w:tcPr>
          <w:p w14:paraId="56C994B1" w14:textId="77777777" w:rsidR="007A52A3" w:rsidRPr="00214121" w:rsidRDefault="007A52A3" w:rsidP="00214121">
            <w:pPr>
              <w:rPr>
                <w:rFonts w:ascii="Arial" w:hAnsi="Arial"/>
                <w:sz w:val="22"/>
                <w:szCs w:val="22"/>
                <w:lang w:val="en-US"/>
              </w:rPr>
            </w:pPr>
          </w:p>
        </w:tc>
        <w:tc>
          <w:tcPr>
            <w:tcW w:w="640" w:type="pct"/>
            <w:tcBorders>
              <w:top w:val="single" w:sz="4" w:space="0" w:color="auto"/>
              <w:left w:val="nil"/>
              <w:bottom w:val="double" w:sz="6" w:space="0" w:color="auto"/>
              <w:right w:val="nil"/>
            </w:tcBorders>
            <w:shd w:val="clear" w:color="auto" w:fill="auto"/>
            <w:noWrap/>
            <w:vAlign w:val="bottom"/>
            <w:hideMark/>
          </w:tcPr>
          <w:p w14:paraId="0E5A2C29"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6,560,570 </w:t>
            </w:r>
          </w:p>
        </w:tc>
        <w:tc>
          <w:tcPr>
            <w:tcW w:w="640" w:type="pct"/>
            <w:tcBorders>
              <w:top w:val="single" w:sz="4" w:space="0" w:color="auto"/>
              <w:left w:val="nil"/>
              <w:bottom w:val="double" w:sz="6" w:space="0" w:color="auto"/>
              <w:right w:val="nil"/>
            </w:tcBorders>
            <w:shd w:val="clear" w:color="auto" w:fill="auto"/>
            <w:noWrap/>
            <w:vAlign w:val="bottom"/>
            <w:hideMark/>
          </w:tcPr>
          <w:p w14:paraId="345CDCEA"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6,560,570 </w:t>
            </w:r>
          </w:p>
        </w:tc>
      </w:tr>
    </w:tbl>
    <w:p w14:paraId="64BD95FF" w14:textId="77777777" w:rsidR="007A52A3" w:rsidRPr="00214121" w:rsidRDefault="007A52A3" w:rsidP="00214121">
      <w:pPr>
        <w:rPr>
          <w:rFonts w:ascii="Arial" w:hAnsi="Arial"/>
          <w:sz w:val="22"/>
          <w:szCs w:val="22"/>
        </w:rPr>
      </w:pPr>
    </w:p>
    <w:p w14:paraId="35AAA0AD" w14:textId="77777777" w:rsidR="0028156D" w:rsidRDefault="0028156D">
      <w:pPr>
        <w:rPr>
          <w:rFonts w:ascii="Arial" w:hAnsi="Arial"/>
        </w:rPr>
      </w:pPr>
      <w:r>
        <w:rPr>
          <w:rFonts w:ascii="Arial" w:hAnsi="Arial"/>
        </w:rPr>
        <w:br w:type="page"/>
      </w:r>
    </w:p>
    <w:p w14:paraId="58305092" w14:textId="22190A3E" w:rsidR="007A52A3" w:rsidRPr="00214121" w:rsidRDefault="007A52A3" w:rsidP="00214121">
      <w:pPr>
        <w:spacing w:line="360" w:lineRule="auto"/>
        <w:rPr>
          <w:rFonts w:ascii="Arial" w:hAnsi="Arial"/>
        </w:rPr>
      </w:pPr>
      <w:r w:rsidRPr="00214121">
        <w:rPr>
          <w:rFonts w:ascii="Arial" w:hAnsi="Arial"/>
        </w:rPr>
        <w:lastRenderedPageBreak/>
        <w:t>Summary financial statements based on the above trial balance are as follows:</w:t>
      </w:r>
    </w:p>
    <w:p w14:paraId="508FD152" w14:textId="77777777" w:rsidR="007A52A3" w:rsidRPr="00214121" w:rsidRDefault="007A52A3" w:rsidP="00214121">
      <w:pPr>
        <w:spacing w:line="360" w:lineRule="auto"/>
        <w:rPr>
          <w:rFonts w:ascii="Arial" w:hAnsi="Arial"/>
        </w:rPr>
      </w:pPr>
    </w:p>
    <w:p w14:paraId="385E204A" w14:textId="77777777" w:rsidR="007A52A3" w:rsidRPr="00214121" w:rsidRDefault="007A52A3" w:rsidP="00214121">
      <w:pPr>
        <w:spacing w:line="360" w:lineRule="auto"/>
        <w:rPr>
          <w:rFonts w:ascii="Arial" w:hAnsi="Arial"/>
          <w:b/>
        </w:rPr>
      </w:pPr>
      <w:r w:rsidRPr="00214121">
        <w:rPr>
          <w:rFonts w:ascii="Arial" w:hAnsi="Arial"/>
          <w:b/>
        </w:rPr>
        <w:t>Balance sheet</w:t>
      </w:r>
    </w:p>
    <w:tbl>
      <w:tblPr>
        <w:tblW w:w="0" w:type="auto"/>
        <w:tblLook w:val="04A0" w:firstRow="1" w:lastRow="0" w:firstColumn="1" w:lastColumn="0" w:noHBand="0" w:noVBand="1"/>
      </w:tblPr>
      <w:tblGrid>
        <w:gridCol w:w="2683"/>
        <w:gridCol w:w="335"/>
        <w:gridCol w:w="1284"/>
        <w:gridCol w:w="1284"/>
      </w:tblGrid>
      <w:tr w:rsidR="007A52A3" w:rsidRPr="007A52A3" w14:paraId="6A923580" w14:textId="77777777" w:rsidTr="00B9592E">
        <w:trPr>
          <w:trHeight w:val="300"/>
        </w:trPr>
        <w:tc>
          <w:tcPr>
            <w:tcW w:w="0" w:type="auto"/>
            <w:tcBorders>
              <w:top w:val="nil"/>
              <w:left w:val="nil"/>
              <w:bottom w:val="nil"/>
              <w:right w:val="nil"/>
            </w:tcBorders>
            <w:shd w:val="clear" w:color="auto" w:fill="auto"/>
            <w:noWrap/>
            <w:vAlign w:val="bottom"/>
            <w:hideMark/>
          </w:tcPr>
          <w:p w14:paraId="0E098722"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1E91EB6F"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5F01D11F"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w:t>
            </w:r>
          </w:p>
        </w:tc>
        <w:tc>
          <w:tcPr>
            <w:tcW w:w="0" w:type="auto"/>
            <w:tcBorders>
              <w:top w:val="nil"/>
              <w:left w:val="nil"/>
              <w:bottom w:val="nil"/>
              <w:right w:val="nil"/>
            </w:tcBorders>
            <w:shd w:val="clear" w:color="auto" w:fill="auto"/>
            <w:noWrap/>
            <w:vAlign w:val="bottom"/>
            <w:hideMark/>
          </w:tcPr>
          <w:p w14:paraId="63C07D42"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w:t>
            </w:r>
          </w:p>
        </w:tc>
      </w:tr>
      <w:tr w:rsidR="007A52A3" w:rsidRPr="007A52A3" w14:paraId="3C849A28" w14:textId="77777777" w:rsidTr="00B9592E">
        <w:trPr>
          <w:trHeight w:val="300"/>
        </w:trPr>
        <w:tc>
          <w:tcPr>
            <w:tcW w:w="0" w:type="auto"/>
            <w:tcBorders>
              <w:top w:val="nil"/>
              <w:left w:val="nil"/>
              <w:bottom w:val="nil"/>
              <w:right w:val="nil"/>
            </w:tcBorders>
            <w:shd w:val="clear" w:color="auto" w:fill="auto"/>
            <w:noWrap/>
            <w:vAlign w:val="bottom"/>
            <w:hideMark/>
          </w:tcPr>
          <w:p w14:paraId="061B5841"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Fixed assets </w:t>
            </w:r>
          </w:p>
        </w:tc>
        <w:tc>
          <w:tcPr>
            <w:tcW w:w="0" w:type="auto"/>
            <w:tcBorders>
              <w:top w:val="nil"/>
              <w:left w:val="nil"/>
              <w:bottom w:val="nil"/>
              <w:right w:val="nil"/>
            </w:tcBorders>
            <w:shd w:val="clear" w:color="auto" w:fill="auto"/>
            <w:noWrap/>
            <w:vAlign w:val="bottom"/>
            <w:hideMark/>
          </w:tcPr>
          <w:p w14:paraId="6215668A"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6A0BAD6C"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352,192 </w:t>
            </w:r>
          </w:p>
        </w:tc>
        <w:tc>
          <w:tcPr>
            <w:tcW w:w="0" w:type="auto"/>
            <w:tcBorders>
              <w:top w:val="nil"/>
              <w:left w:val="nil"/>
              <w:bottom w:val="nil"/>
              <w:right w:val="nil"/>
            </w:tcBorders>
            <w:shd w:val="clear" w:color="auto" w:fill="auto"/>
            <w:noWrap/>
            <w:vAlign w:val="bottom"/>
            <w:hideMark/>
          </w:tcPr>
          <w:p w14:paraId="5D08FAA6" w14:textId="77777777" w:rsidR="007A52A3" w:rsidRPr="00214121" w:rsidRDefault="007A52A3" w:rsidP="00214121">
            <w:pPr>
              <w:spacing w:line="360" w:lineRule="auto"/>
              <w:jc w:val="right"/>
              <w:rPr>
                <w:rFonts w:ascii="Arial" w:hAnsi="Arial"/>
                <w:color w:val="000000"/>
                <w:lang w:val="en-US"/>
              </w:rPr>
            </w:pPr>
          </w:p>
        </w:tc>
      </w:tr>
      <w:tr w:rsidR="007A52A3" w:rsidRPr="007A52A3" w14:paraId="43D5BEC3" w14:textId="77777777" w:rsidTr="00B9592E">
        <w:trPr>
          <w:trHeight w:val="300"/>
        </w:trPr>
        <w:tc>
          <w:tcPr>
            <w:tcW w:w="0" w:type="auto"/>
            <w:tcBorders>
              <w:top w:val="nil"/>
              <w:left w:val="nil"/>
              <w:bottom w:val="nil"/>
              <w:right w:val="nil"/>
            </w:tcBorders>
            <w:shd w:val="clear" w:color="auto" w:fill="auto"/>
            <w:noWrap/>
            <w:vAlign w:val="bottom"/>
            <w:hideMark/>
          </w:tcPr>
          <w:p w14:paraId="461AC0EE"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Current assets </w:t>
            </w:r>
          </w:p>
        </w:tc>
        <w:tc>
          <w:tcPr>
            <w:tcW w:w="0" w:type="auto"/>
            <w:tcBorders>
              <w:top w:val="nil"/>
              <w:left w:val="nil"/>
              <w:bottom w:val="nil"/>
              <w:right w:val="nil"/>
            </w:tcBorders>
            <w:shd w:val="clear" w:color="auto" w:fill="auto"/>
            <w:noWrap/>
            <w:vAlign w:val="bottom"/>
            <w:hideMark/>
          </w:tcPr>
          <w:p w14:paraId="0B68407B"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397E763E"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2,537,097 </w:t>
            </w:r>
          </w:p>
        </w:tc>
        <w:tc>
          <w:tcPr>
            <w:tcW w:w="0" w:type="auto"/>
            <w:tcBorders>
              <w:top w:val="nil"/>
              <w:left w:val="nil"/>
              <w:bottom w:val="nil"/>
              <w:right w:val="nil"/>
            </w:tcBorders>
            <w:shd w:val="clear" w:color="auto" w:fill="auto"/>
            <w:noWrap/>
            <w:vAlign w:val="bottom"/>
            <w:hideMark/>
          </w:tcPr>
          <w:p w14:paraId="438AEDE8" w14:textId="77777777" w:rsidR="007A52A3" w:rsidRPr="00214121" w:rsidRDefault="007A52A3" w:rsidP="00214121">
            <w:pPr>
              <w:spacing w:line="360" w:lineRule="auto"/>
              <w:jc w:val="right"/>
              <w:rPr>
                <w:rFonts w:ascii="Arial" w:hAnsi="Arial"/>
                <w:color w:val="000000"/>
                <w:lang w:val="en-US"/>
              </w:rPr>
            </w:pPr>
          </w:p>
        </w:tc>
      </w:tr>
      <w:tr w:rsidR="007A52A3" w:rsidRPr="007A52A3" w14:paraId="39C8530D" w14:textId="77777777" w:rsidTr="00B9592E">
        <w:trPr>
          <w:trHeight w:val="300"/>
        </w:trPr>
        <w:tc>
          <w:tcPr>
            <w:tcW w:w="0" w:type="auto"/>
            <w:tcBorders>
              <w:top w:val="nil"/>
              <w:left w:val="nil"/>
              <w:bottom w:val="nil"/>
              <w:right w:val="nil"/>
            </w:tcBorders>
            <w:shd w:val="clear" w:color="auto" w:fill="auto"/>
            <w:noWrap/>
            <w:vAlign w:val="bottom"/>
            <w:hideMark/>
          </w:tcPr>
          <w:p w14:paraId="7A0424BD"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Liabilities </w:t>
            </w:r>
          </w:p>
        </w:tc>
        <w:tc>
          <w:tcPr>
            <w:tcW w:w="0" w:type="auto"/>
            <w:tcBorders>
              <w:top w:val="nil"/>
              <w:left w:val="nil"/>
              <w:bottom w:val="nil"/>
              <w:right w:val="nil"/>
            </w:tcBorders>
            <w:shd w:val="clear" w:color="auto" w:fill="auto"/>
            <w:noWrap/>
            <w:vAlign w:val="bottom"/>
            <w:hideMark/>
          </w:tcPr>
          <w:p w14:paraId="0C026811"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535EFBF6"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7DF4F783"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333,162 </w:t>
            </w:r>
          </w:p>
        </w:tc>
      </w:tr>
      <w:tr w:rsidR="007A52A3" w:rsidRPr="007A52A3" w14:paraId="16BCAFAA"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5526FA4E"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Provisions for deferred tax </w:t>
            </w:r>
          </w:p>
        </w:tc>
        <w:tc>
          <w:tcPr>
            <w:tcW w:w="0" w:type="auto"/>
            <w:tcBorders>
              <w:top w:val="nil"/>
              <w:left w:val="nil"/>
              <w:bottom w:val="nil"/>
              <w:right w:val="nil"/>
            </w:tcBorders>
            <w:shd w:val="clear" w:color="auto" w:fill="auto"/>
            <w:noWrap/>
            <w:vAlign w:val="bottom"/>
            <w:hideMark/>
          </w:tcPr>
          <w:p w14:paraId="535D6158"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406C5319"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25,540 </w:t>
            </w:r>
          </w:p>
        </w:tc>
      </w:tr>
      <w:tr w:rsidR="007A52A3" w:rsidRPr="007A52A3" w14:paraId="16CE634D"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5FABCE78"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Equity and reserves </w:t>
            </w:r>
          </w:p>
        </w:tc>
        <w:tc>
          <w:tcPr>
            <w:tcW w:w="0" w:type="auto"/>
            <w:tcBorders>
              <w:top w:val="nil"/>
              <w:left w:val="nil"/>
              <w:bottom w:val="nil"/>
              <w:right w:val="nil"/>
            </w:tcBorders>
            <w:shd w:val="clear" w:color="auto" w:fill="auto"/>
            <w:noWrap/>
            <w:vAlign w:val="bottom"/>
            <w:hideMark/>
          </w:tcPr>
          <w:p w14:paraId="5D1CB6E5"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31A15F36"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2,530,587 </w:t>
            </w:r>
          </w:p>
        </w:tc>
      </w:tr>
      <w:tr w:rsidR="007A52A3" w:rsidRPr="007A52A3" w14:paraId="310FD7BF" w14:textId="77777777" w:rsidTr="00B9592E">
        <w:trPr>
          <w:trHeight w:val="320"/>
        </w:trPr>
        <w:tc>
          <w:tcPr>
            <w:tcW w:w="0" w:type="auto"/>
            <w:tcBorders>
              <w:top w:val="nil"/>
              <w:left w:val="nil"/>
              <w:bottom w:val="nil"/>
              <w:right w:val="nil"/>
            </w:tcBorders>
            <w:shd w:val="clear" w:color="auto" w:fill="auto"/>
            <w:noWrap/>
            <w:vAlign w:val="bottom"/>
            <w:hideMark/>
          </w:tcPr>
          <w:p w14:paraId="06C43BCC" w14:textId="77777777" w:rsidR="007A52A3" w:rsidRPr="00214121" w:rsidRDefault="007A52A3" w:rsidP="00214121">
            <w:pPr>
              <w:spacing w:line="360" w:lineRule="auto"/>
              <w:jc w:val="right"/>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3136A4C7" w14:textId="77777777" w:rsidR="007A52A3" w:rsidRPr="00214121" w:rsidRDefault="007A52A3" w:rsidP="00214121">
            <w:pPr>
              <w:spacing w:line="360" w:lineRule="auto"/>
              <w:rPr>
                <w:rFonts w:ascii="Arial" w:hAnsi="Arial"/>
                <w:lang w:val="en-US"/>
              </w:rPr>
            </w:pPr>
          </w:p>
        </w:tc>
        <w:tc>
          <w:tcPr>
            <w:tcW w:w="0" w:type="auto"/>
            <w:tcBorders>
              <w:top w:val="single" w:sz="4" w:space="0" w:color="auto"/>
              <w:left w:val="nil"/>
              <w:bottom w:val="double" w:sz="6" w:space="0" w:color="auto"/>
              <w:right w:val="nil"/>
            </w:tcBorders>
            <w:shd w:val="clear" w:color="auto" w:fill="auto"/>
            <w:noWrap/>
            <w:vAlign w:val="bottom"/>
            <w:hideMark/>
          </w:tcPr>
          <w:p w14:paraId="185C2B74"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2,889,289 </w:t>
            </w:r>
          </w:p>
        </w:tc>
        <w:tc>
          <w:tcPr>
            <w:tcW w:w="0" w:type="auto"/>
            <w:tcBorders>
              <w:top w:val="single" w:sz="4" w:space="0" w:color="auto"/>
              <w:left w:val="nil"/>
              <w:bottom w:val="double" w:sz="6" w:space="0" w:color="auto"/>
              <w:right w:val="nil"/>
            </w:tcBorders>
            <w:shd w:val="clear" w:color="auto" w:fill="auto"/>
            <w:noWrap/>
            <w:vAlign w:val="bottom"/>
            <w:hideMark/>
          </w:tcPr>
          <w:p w14:paraId="22FBCDB8"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2,889,289 </w:t>
            </w:r>
          </w:p>
        </w:tc>
      </w:tr>
    </w:tbl>
    <w:p w14:paraId="47D4944D" w14:textId="77777777" w:rsidR="007A52A3" w:rsidRPr="00214121" w:rsidRDefault="007A52A3" w:rsidP="00214121">
      <w:pPr>
        <w:spacing w:line="360" w:lineRule="auto"/>
        <w:rPr>
          <w:rFonts w:ascii="Arial" w:hAnsi="Arial"/>
          <w:b/>
        </w:rPr>
      </w:pPr>
    </w:p>
    <w:p w14:paraId="414A269D" w14:textId="77777777" w:rsidR="007A52A3" w:rsidRPr="00214121" w:rsidRDefault="007A52A3" w:rsidP="00214121">
      <w:pPr>
        <w:spacing w:line="360" w:lineRule="auto"/>
        <w:rPr>
          <w:rFonts w:ascii="Arial" w:hAnsi="Arial"/>
          <w:b/>
        </w:rPr>
      </w:pPr>
      <w:r w:rsidRPr="00214121">
        <w:rPr>
          <w:rFonts w:ascii="Arial" w:hAnsi="Arial"/>
          <w:b/>
        </w:rPr>
        <w:t>Profit and loss account</w:t>
      </w:r>
    </w:p>
    <w:tbl>
      <w:tblPr>
        <w:tblW w:w="0" w:type="auto"/>
        <w:tblLook w:val="04A0" w:firstRow="1" w:lastRow="0" w:firstColumn="1" w:lastColumn="0" w:noHBand="0" w:noVBand="1"/>
      </w:tblPr>
      <w:tblGrid>
        <w:gridCol w:w="2494"/>
        <w:gridCol w:w="324"/>
        <w:gridCol w:w="222"/>
        <w:gridCol w:w="1444"/>
      </w:tblGrid>
      <w:tr w:rsidR="007A52A3" w:rsidRPr="007A52A3" w14:paraId="1D3B6211" w14:textId="77777777" w:rsidTr="00B9592E">
        <w:trPr>
          <w:trHeight w:val="300"/>
        </w:trPr>
        <w:tc>
          <w:tcPr>
            <w:tcW w:w="0" w:type="auto"/>
            <w:tcBorders>
              <w:top w:val="nil"/>
              <w:left w:val="nil"/>
              <w:bottom w:val="nil"/>
              <w:right w:val="nil"/>
            </w:tcBorders>
            <w:shd w:val="clear" w:color="auto" w:fill="auto"/>
            <w:noWrap/>
            <w:vAlign w:val="bottom"/>
            <w:hideMark/>
          </w:tcPr>
          <w:p w14:paraId="54B82A4D"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383BC0F0"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67657F6B"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3BD6099B"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w:t>
            </w:r>
          </w:p>
        </w:tc>
      </w:tr>
      <w:tr w:rsidR="007A52A3" w:rsidRPr="007A52A3" w14:paraId="68227F0C" w14:textId="77777777" w:rsidTr="00B9592E">
        <w:trPr>
          <w:trHeight w:val="300"/>
        </w:trPr>
        <w:tc>
          <w:tcPr>
            <w:tcW w:w="0" w:type="auto"/>
            <w:tcBorders>
              <w:top w:val="nil"/>
              <w:left w:val="nil"/>
              <w:bottom w:val="nil"/>
              <w:right w:val="nil"/>
            </w:tcBorders>
            <w:shd w:val="clear" w:color="auto" w:fill="auto"/>
            <w:noWrap/>
            <w:vAlign w:val="bottom"/>
            <w:hideMark/>
          </w:tcPr>
          <w:p w14:paraId="0A2DE917"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Turnover </w:t>
            </w:r>
          </w:p>
        </w:tc>
        <w:tc>
          <w:tcPr>
            <w:tcW w:w="0" w:type="auto"/>
            <w:tcBorders>
              <w:top w:val="nil"/>
              <w:left w:val="nil"/>
              <w:bottom w:val="nil"/>
              <w:right w:val="nil"/>
            </w:tcBorders>
            <w:shd w:val="clear" w:color="auto" w:fill="auto"/>
            <w:noWrap/>
            <w:vAlign w:val="bottom"/>
            <w:hideMark/>
          </w:tcPr>
          <w:p w14:paraId="1E53D2B3"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10C6F17A"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3B2A7DA2"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4,126,211 </w:t>
            </w:r>
          </w:p>
        </w:tc>
      </w:tr>
      <w:tr w:rsidR="007A52A3" w:rsidRPr="007A52A3" w14:paraId="01084D28" w14:textId="77777777" w:rsidTr="00B9592E">
        <w:trPr>
          <w:trHeight w:val="300"/>
        </w:trPr>
        <w:tc>
          <w:tcPr>
            <w:tcW w:w="0" w:type="auto"/>
            <w:tcBorders>
              <w:top w:val="nil"/>
              <w:left w:val="nil"/>
              <w:bottom w:val="nil"/>
              <w:right w:val="nil"/>
            </w:tcBorders>
            <w:shd w:val="clear" w:color="auto" w:fill="auto"/>
            <w:noWrap/>
            <w:vAlign w:val="bottom"/>
            <w:hideMark/>
          </w:tcPr>
          <w:p w14:paraId="0E70EF57"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Cost of sales</w:t>
            </w:r>
          </w:p>
        </w:tc>
        <w:tc>
          <w:tcPr>
            <w:tcW w:w="0" w:type="auto"/>
            <w:tcBorders>
              <w:top w:val="nil"/>
              <w:left w:val="nil"/>
              <w:bottom w:val="nil"/>
              <w:right w:val="nil"/>
            </w:tcBorders>
            <w:shd w:val="clear" w:color="auto" w:fill="auto"/>
            <w:noWrap/>
            <w:vAlign w:val="bottom"/>
            <w:hideMark/>
          </w:tcPr>
          <w:p w14:paraId="1D9A9960"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4EFAB744"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035578CF"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(2,572,708)</w:t>
            </w:r>
          </w:p>
        </w:tc>
      </w:tr>
      <w:tr w:rsidR="007A52A3" w:rsidRPr="007A52A3" w14:paraId="3EE408CF"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3684B499"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Distribution costs </w:t>
            </w:r>
          </w:p>
        </w:tc>
        <w:tc>
          <w:tcPr>
            <w:tcW w:w="0" w:type="auto"/>
            <w:tcBorders>
              <w:top w:val="nil"/>
              <w:left w:val="nil"/>
              <w:bottom w:val="nil"/>
              <w:right w:val="nil"/>
            </w:tcBorders>
            <w:shd w:val="clear" w:color="auto" w:fill="auto"/>
            <w:noWrap/>
            <w:vAlign w:val="bottom"/>
            <w:hideMark/>
          </w:tcPr>
          <w:p w14:paraId="1C112CD9"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59F248E9"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(351,104)</w:t>
            </w:r>
          </w:p>
        </w:tc>
      </w:tr>
      <w:tr w:rsidR="007A52A3" w:rsidRPr="007A52A3" w14:paraId="638C4569"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4D32B1D5"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Administrative expenses </w:t>
            </w:r>
          </w:p>
        </w:tc>
        <w:tc>
          <w:tcPr>
            <w:tcW w:w="0" w:type="auto"/>
            <w:tcBorders>
              <w:top w:val="nil"/>
              <w:left w:val="nil"/>
              <w:bottom w:val="nil"/>
              <w:right w:val="nil"/>
            </w:tcBorders>
            <w:shd w:val="clear" w:color="auto" w:fill="auto"/>
            <w:noWrap/>
            <w:vAlign w:val="bottom"/>
            <w:hideMark/>
          </w:tcPr>
          <w:p w14:paraId="2CDD20E8"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single" w:sz="4" w:space="0" w:color="auto"/>
              <w:right w:val="nil"/>
            </w:tcBorders>
            <w:shd w:val="clear" w:color="auto" w:fill="auto"/>
            <w:noWrap/>
            <w:vAlign w:val="bottom"/>
            <w:hideMark/>
          </w:tcPr>
          <w:p w14:paraId="3A4426AB"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(298,521)</w:t>
            </w:r>
          </w:p>
        </w:tc>
      </w:tr>
      <w:tr w:rsidR="007A52A3" w:rsidRPr="007A52A3" w14:paraId="7F326DFC"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174FBE70"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Profit before tax </w:t>
            </w:r>
          </w:p>
        </w:tc>
        <w:tc>
          <w:tcPr>
            <w:tcW w:w="0" w:type="auto"/>
            <w:tcBorders>
              <w:top w:val="nil"/>
              <w:left w:val="nil"/>
              <w:bottom w:val="nil"/>
              <w:right w:val="nil"/>
            </w:tcBorders>
            <w:shd w:val="clear" w:color="auto" w:fill="auto"/>
            <w:noWrap/>
            <w:vAlign w:val="bottom"/>
            <w:hideMark/>
          </w:tcPr>
          <w:p w14:paraId="69499ABD"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47C22C83"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903,878 </w:t>
            </w:r>
          </w:p>
        </w:tc>
      </w:tr>
      <w:tr w:rsidR="007A52A3" w:rsidRPr="007A52A3" w14:paraId="273E1F5F" w14:textId="77777777" w:rsidTr="00B9592E">
        <w:trPr>
          <w:trHeight w:val="300"/>
        </w:trPr>
        <w:tc>
          <w:tcPr>
            <w:tcW w:w="0" w:type="auto"/>
            <w:tcBorders>
              <w:top w:val="nil"/>
              <w:left w:val="nil"/>
              <w:bottom w:val="nil"/>
              <w:right w:val="nil"/>
            </w:tcBorders>
            <w:shd w:val="clear" w:color="auto" w:fill="auto"/>
            <w:noWrap/>
            <w:vAlign w:val="bottom"/>
            <w:hideMark/>
          </w:tcPr>
          <w:p w14:paraId="4CB258ED"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Tax </w:t>
            </w:r>
          </w:p>
        </w:tc>
        <w:tc>
          <w:tcPr>
            <w:tcW w:w="0" w:type="auto"/>
            <w:tcBorders>
              <w:top w:val="nil"/>
              <w:left w:val="nil"/>
              <w:bottom w:val="nil"/>
              <w:right w:val="nil"/>
            </w:tcBorders>
            <w:shd w:val="clear" w:color="auto" w:fill="auto"/>
            <w:noWrap/>
            <w:vAlign w:val="bottom"/>
            <w:hideMark/>
          </w:tcPr>
          <w:p w14:paraId="710A6A04"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37920733"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782B1128"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(147,700)</w:t>
            </w:r>
          </w:p>
        </w:tc>
      </w:tr>
      <w:tr w:rsidR="007A52A3" w:rsidRPr="007A52A3" w14:paraId="3329113A" w14:textId="77777777" w:rsidTr="00B9592E">
        <w:trPr>
          <w:trHeight w:val="320"/>
        </w:trPr>
        <w:tc>
          <w:tcPr>
            <w:tcW w:w="0" w:type="auto"/>
            <w:tcBorders>
              <w:top w:val="nil"/>
              <w:left w:val="nil"/>
              <w:bottom w:val="nil"/>
              <w:right w:val="nil"/>
            </w:tcBorders>
            <w:shd w:val="clear" w:color="auto" w:fill="auto"/>
            <w:noWrap/>
            <w:vAlign w:val="bottom"/>
            <w:hideMark/>
          </w:tcPr>
          <w:p w14:paraId="15465276"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Profit after tax</w:t>
            </w:r>
          </w:p>
        </w:tc>
        <w:tc>
          <w:tcPr>
            <w:tcW w:w="0" w:type="auto"/>
            <w:tcBorders>
              <w:top w:val="nil"/>
              <w:left w:val="nil"/>
              <w:bottom w:val="nil"/>
              <w:right w:val="nil"/>
            </w:tcBorders>
            <w:shd w:val="clear" w:color="auto" w:fill="auto"/>
            <w:noWrap/>
            <w:vAlign w:val="bottom"/>
            <w:hideMark/>
          </w:tcPr>
          <w:p w14:paraId="45D62F44"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44E01899" w14:textId="77777777" w:rsidR="007A52A3" w:rsidRPr="00214121" w:rsidRDefault="007A52A3" w:rsidP="00214121">
            <w:pPr>
              <w:spacing w:line="360" w:lineRule="auto"/>
              <w:rPr>
                <w:rFonts w:ascii="Arial" w:hAnsi="Arial"/>
                <w:lang w:val="en-US"/>
              </w:rPr>
            </w:pPr>
          </w:p>
        </w:tc>
        <w:tc>
          <w:tcPr>
            <w:tcW w:w="0" w:type="auto"/>
            <w:tcBorders>
              <w:top w:val="single" w:sz="4" w:space="0" w:color="auto"/>
              <w:left w:val="nil"/>
              <w:bottom w:val="double" w:sz="6" w:space="0" w:color="auto"/>
              <w:right w:val="nil"/>
            </w:tcBorders>
            <w:shd w:val="clear" w:color="auto" w:fill="auto"/>
            <w:noWrap/>
            <w:vAlign w:val="bottom"/>
            <w:hideMark/>
          </w:tcPr>
          <w:p w14:paraId="641C77B4"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756,178 </w:t>
            </w:r>
          </w:p>
        </w:tc>
      </w:tr>
    </w:tbl>
    <w:p w14:paraId="4986B9EF" w14:textId="77777777" w:rsidR="007A52A3" w:rsidRPr="00214121" w:rsidRDefault="007A52A3" w:rsidP="00214121">
      <w:pPr>
        <w:spacing w:line="360" w:lineRule="auto"/>
        <w:rPr>
          <w:rFonts w:ascii="Arial" w:hAnsi="Arial"/>
          <w:b/>
        </w:rPr>
      </w:pPr>
    </w:p>
    <w:p w14:paraId="5097D3D3" w14:textId="7D14F0EA" w:rsidR="007A52A3" w:rsidRPr="00214121" w:rsidRDefault="007A52A3" w:rsidP="00214121">
      <w:pPr>
        <w:spacing w:line="360" w:lineRule="auto"/>
        <w:rPr>
          <w:rFonts w:ascii="Arial" w:hAnsi="Arial"/>
        </w:rPr>
      </w:pPr>
      <w:r w:rsidRPr="00214121">
        <w:rPr>
          <w:rFonts w:ascii="Arial" w:hAnsi="Arial"/>
        </w:rPr>
        <w:t>Adjustments will have to be made to the prior</w:t>
      </w:r>
      <w:r w:rsidR="0028156D">
        <w:rPr>
          <w:rFonts w:ascii="Arial" w:hAnsi="Arial"/>
        </w:rPr>
        <w:t>-</w:t>
      </w:r>
      <w:r w:rsidRPr="00214121">
        <w:rPr>
          <w:rFonts w:ascii="Arial" w:hAnsi="Arial"/>
        </w:rPr>
        <w:t>year balances so that they reflect the provisions in FRS 102 as follows:</w:t>
      </w:r>
    </w:p>
    <w:p w14:paraId="6BA622DC" w14:textId="77777777" w:rsidR="007A52A3" w:rsidRPr="00214121" w:rsidRDefault="007A52A3" w:rsidP="00214121">
      <w:pPr>
        <w:spacing w:line="360" w:lineRule="auto"/>
        <w:rPr>
          <w:rFonts w:ascii="Arial" w:hAnsi="Arial"/>
        </w:rPr>
      </w:pPr>
    </w:p>
    <w:p w14:paraId="483BF5ED" w14:textId="77777777" w:rsidR="0028156D" w:rsidRPr="00214121" w:rsidRDefault="007A52A3" w:rsidP="00214121">
      <w:pPr>
        <w:spacing w:line="360" w:lineRule="auto"/>
        <w:rPr>
          <w:rFonts w:ascii="Arial" w:hAnsi="Arial"/>
          <w:b/>
          <w:i/>
        </w:rPr>
      </w:pPr>
      <w:r w:rsidRPr="00214121">
        <w:rPr>
          <w:rFonts w:ascii="Arial" w:hAnsi="Arial"/>
          <w:b/>
          <w:i/>
        </w:rPr>
        <w:t>Note</w:t>
      </w:r>
      <w:r w:rsidR="0028156D" w:rsidRPr="00214121">
        <w:rPr>
          <w:rFonts w:ascii="Arial" w:hAnsi="Arial"/>
          <w:b/>
          <w:i/>
        </w:rPr>
        <w:t>s</w:t>
      </w:r>
      <w:r w:rsidRPr="00214121">
        <w:rPr>
          <w:rFonts w:ascii="Arial" w:hAnsi="Arial"/>
          <w:b/>
          <w:i/>
        </w:rPr>
        <w:t xml:space="preserve"> </w:t>
      </w:r>
    </w:p>
    <w:p w14:paraId="5F9450A0" w14:textId="13B28A68" w:rsidR="007A52A3" w:rsidRPr="00214121" w:rsidRDefault="007A52A3" w:rsidP="00214121">
      <w:pPr>
        <w:spacing w:line="360" w:lineRule="auto"/>
        <w:rPr>
          <w:rFonts w:ascii="Arial" w:hAnsi="Arial"/>
          <w:b/>
        </w:rPr>
      </w:pPr>
      <w:r w:rsidRPr="00214121">
        <w:rPr>
          <w:rFonts w:ascii="Arial" w:hAnsi="Arial"/>
          <w:b/>
        </w:rPr>
        <w:t>1</w:t>
      </w:r>
      <w:r w:rsidR="00FD364B">
        <w:rPr>
          <w:rFonts w:ascii="Arial" w:hAnsi="Arial"/>
          <w:b/>
        </w:rPr>
        <w:t>.</w:t>
      </w:r>
      <w:r w:rsidRPr="00214121">
        <w:rPr>
          <w:rFonts w:ascii="Arial" w:hAnsi="Arial"/>
          <w:b/>
        </w:rPr>
        <w:t xml:space="preserve"> Investment property</w:t>
      </w:r>
    </w:p>
    <w:p w14:paraId="57E5E9F5" w14:textId="30FC9C16" w:rsidR="007A52A3" w:rsidRPr="00214121" w:rsidRDefault="007A52A3" w:rsidP="00214121">
      <w:pPr>
        <w:spacing w:line="360" w:lineRule="auto"/>
        <w:rPr>
          <w:rFonts w:ascii="Arial" w:hAnsi="Arial"/>
        </w:rPr>
      </w:pPr>
      <w:r w:rsidRPr="00214121">
        <w:rPr>
          <w:rFonts w:ascii="Arial" w:hAnsi="Arial"/>
        </w:rPr>
        <w:t>The investment property has seen a fair value gain as at 30 April 2016 of £20,000.</w:t>
      </w:r>
      <w:r>
        <w:rPr>
          <w:rFonts w:ascii="Arial" w:hAnsi="Arial"/>
        </w:rPr>
        <w:t xml:space="preserve"> </w:t>
      </w:r>
      <w:r w:rsidRPr="00214121">
        <w:rPr>
          <w:rFonts w:ascii="Arial" w:hAnsi="Arial"/>
        </w:rPr>
        <w:t>The entries in the comparative year were:</w:t>
      </w:r>
    </w:p>
    <w:p w14:paraId="2A4D420F" w14:textId="77777777" w:rsidR="007A52A3" w:rsidRPr="00214121" w:rsidRDefault="007A52A3" w:rsidP="00214121">
      <w:pPr>
        <w:spacing w:line="360" w:lineRule="auto"/>
        <w:rPr>
          <w:rFonts w:ascii="Arial" w:hAnsi="Arial"/>
        </w:rPr>
      </w:pPr>
    </w:p>
    <w:p w14:paraId="70EBFC0F" w14:textId="43748063" w:rsidR="007A52A3" w:rsidRPr="00214121" w:rsidRDefault="007A52A3" w:rsidP="00214121">
      <w:pPr>
        <w:spacing w:line="360" w:lineRule="auto"/>
        <w:rPr>
          <w:rFonts w:ascii="Arial" w:hAnsi="Arial"/>
        </w:rPr>
      </w:pPr>
      <w:r w:rsidRPr="00214121">
        <w:rPr>
          <w:rFonts w:ascii="Arial" w:hAnsi="Arial"/>
        </w:rPr>
        <w:t>Dr investment property</w:t>
      </w:r>
      <w:r w:rsidRPr="00214121">
        <w:rPr>
          <w:rFonts w:ascii="Arial" w:hAnsi="Arial"/>
        </w:rPr>
        <w:tab/>
      </w:r>
      <w:r w:rsidRPr="00214121">
        <w:rPr>
          <w:rFonts w:ascii="Arial" w:hAnsi="Arial"/>
        </w:rPr>
        <w:tab/>
        <w:t>£20,000</w:t>
      </w:r>
    </w:p>
    <w:p w14:paraId="2831B7A6" w14:textId="676E302D" w:rsidR="007A52A3" w:rsidRPr="00214121" w:rsidRDefault="007A52A3" w:rsidP="00214121">
      <w:pPr>
        <w:spacing w:line="360" w:lineRule="auto"/>
        <w:rPr>
          <w:rFonts w:ascii="Arial" w:hAnsi="Arial"/>
        </w:rPr>
      </w:pPr>
      <w:r w:rsidRPr="00214121">
        <w:rPr>
          <w:rFonts w:ascii="Arial" w:hAnsi="Arial"/>
        </w:rPr>
        <w:t xml:space="preserve">Cr revaluation reserve </w:t>
      </w:r>
      <w:r w:rsidRPr="00214121">
        <w:rPr>
          <w:rFonts w:ascii="Arial" w:hAnsi="Arial"/>
        </w:rPr>
        <w:tab/>
      </w:r>
      <w:r w:rsidRPr="00214121">
        <w:rPr>
          <w:rFonts w:ascii="Arial" w:hAnsi="Arial"/>
        </w:rPr>
        <w:tab/>
        <w:t>£20,000</w:t>
      </w:r>
    </w:p>
    <w:p w14:paraId="165F19DF" w14:textId="77777777" w:rsidR="007A52A3" w:rsidRPr="00214121" w:rsidRDefault="007A52A3" w:rsidP="00214121">
      <w:pPr>
        <w:spacing w:line="360" w:lineRule="auto"/>
        <w:rPr>
          <w:rFonts w:ascii="Arial" w:hAnsi="Arial"/>
        </w:rPr>
      </w:pPr>
    </w:p>
    <w:p w14:paraId="3F7CCD40" w14:textId="77777777" w:rsidR="00FD364B" w:rsidRDefault="00FD364B">
      <w:pPr>
        <w:rPr>
          <w:rFonts w:ascii="Arial" w:hAnsi="Arial"/>
        </w:rPr>
      </w:pPr>
      <w:r>
        <w:rPr>
          <w:rFonts w:ascii="Arial" w:hAnsi="Arial"/>
        </w:rPr>
        <w:br w:type="page"/>
      </w:r>
    </w:p>
    <w:p w14:paraId="59704D30" w14:textId="38696CB9" w:rsidR="007A52A3" w:rsidRPr="00214121" w:rsidRDefault="007A52A3" w:rsidP="00214121">
      <w:pPr>
        <w:spacing w:line="360" w:lineRule="auto"/>
        <w:rPr>
          <w:rFonts w:ascii="Arial" w:hAnsi="Arial"/>
        </w:rPr>
      </w:pPr>
      <w:r w:rsidRPr="00214121">
        <w:rPr>
          <w:rFonts w:ascii="Arial" w:hAnsi="Arial"/>
        </w:rPr>
        <w:lastRenderedPageBreak/>
        <w:t>A prior</w:t>
      </w:r>
      <w:r w:rsidR="00FD364B">
        <w:rPr>
          <w:rFonts w:ascii="Arial" w:hAnsi="Arial"/>
        </w:rPr>
        <w:t>-</w:t>
      </w:r>
      <w:r w:rsidRPr="00214121">
        <w:rPr>
          <w:rFonts w:ascii="Arial" w:hAnsi="Arial"/>
        </w:rPr>
        <w:t>year adjustment will have to be done to reflect the provisions of Section 16 in FRS 102 as follows:</w:t>
      </w:r>
    </w:p>
    <w:p w14:paraId="444E07B9" w14:textId="77777777" w:rsidR="007A52A3" w:rsidRPr="00214121" w:rsidRDefault="007A52A3" w:rsidP="00214121">
      <w:pPr>
        <w:spacing w:line="360" w:lineRule="auto"/>
        <w:rPr>
          <w:rFonts w:ascii="Arial" w:hAnsi="Arial"/>
        </w:rPr>
      </w:pPr>
    </w:p>
    <w:p w14:paraId="008B2385" w14:textId="0FF4ABA4" w:rsidR="007A52A3" w:rsidRPr="00214121" w:rsidRDefault="007A52A3" w:rsidP="00214121">
      <w:pPr>
        <w:spacing w:line="360" w:lineRule="auto"/>
        <w:rPr>
          <w:rFonts w:ascii="Arial" w:hAnsi="Arial"/>
        </w:rPr>
      </w:pPr>
      <w:r w:rsidRPr="00214121">
        <w:rPr>
          <w:rFonts w:ascii="Arial" w:hAnsi="Arial"/>
        </w:rPr>
        <w:t xml:space="preserve">Dr revaluation reserve </w:t>
      </w:r>
      <w:r w:rsidRPr="00214121">
        <w:rPr>
          <w:rFonts w:ascii="Arial" w:hAnsi="Arial"/>
        </w:rPr>
        <w:tab/>
      </w:r>
      <w:r w:rsidRPr="00214121">
        <w:rPr>
          <w:rFonts w:ascii="Arial" w:hAnsi="Arial"/>
        </w:rPr>
        <w:tab/>
        <w:t>£20,000</w:t>
      </w:r>
    </w:p>
    <w:p w14:paraId="11463252" w14:textId="093AAFFA" w:rsidR="007A52A3" w:rsidRPr="00214121" w:rsidRDefault="007A52A3" w:rsidP="00214121">
      <w:pPr>
        <w:spacing w:line="360" w:lineRule="auto"/>
        <w:rPr>
          <w:rFonts w:ascii="Arial" w:hAnsi="Arial"/>
        </w:rPr>
      </w:pPr>
      <w:r w:rsidRPr="00214121">
        <w:rPr>
          <w:rFonts w:ascii="Arial" w:hAnsi="Arial"/>
        </w:rPr>
        <w:t xml:space="preserve">Cr profit and loss account </w:t>
      </w:r>
      <w:r w:rsidRPr="00214121">
        <w:rPr>
          <w:rFonts w:ascii="Arial" w:hAnsi="Arial"/>
        </w:rPr>
        <w:tab/>
      </w:r>
      <w:r w:rsidR="00DF53FD">
        <w:rPr>
          <w:rFonts w:ascii="Arial" w:hAnsi="Arial"/>
        </w:rPr>
        <w:tab/>
      </w:r>
      <w:r w:rsidRPr="00214121">
        <w:rPr>
          <w:rFonts w:ascii="Arial" w:hAnsi="Arial"/>
        </w:rPr>
        <w:t>£20,000</w:t>
      </w:r>
    </w:p>
    <w:p w14:paraId="4D051C2D" w14:textId="14F2FAA4" w:rsidR="007A52A3" w:rsidRPr="00214121" w:rsidRDefault="00FD364B" w:rsidP="00214121">
      <w:pPr>
        <w:spacing w:line="360" w:lineRule="auto"/>
        <w:rPr>
          <w:rFonts w:ascii="Arial" w:hAnsi="Arial"/>
          <w:i/>
        </w:rPr>
      </w:pPr>
      <w:r>
        <w:rPr>
          <w:rFonts w:ascii="Arial" w:hAnsi="Arial"/>
          <w:i/>
        </w:rPr>
        <w:t>b</w:t>
      </w:r>
      <w:r w:rsidR="007A52A3" w:rsidRPr="00214121">
        <w:rPr>
          <w:rFonts w:ascii="Arial" w:hAnsi="Arial"/>
          <w:i/>
        </w:rPr>
        <w:t xml:space="preserve">eing reallocation of revaluation gain in the year to 30 April 2016 </w:t>
      </w:r>
    </w:p>
    <w:p w14:paraId="5816C084" w14:textId="77777777" w:rsidR="007A52A3" w:rsidRPr="00214121" w:rsidRDefault="007A52A3" w:rsidP="00214121">
      <w:pPr>
        <w:spacing w:line="360" w:lineRule="auto"/>
        <w:rPr>
          <w:rFonts w:ascii="Arial" w:hAnsi="Arial"/>
          <w:i/>
        </w:rPr>
      </w:pPr>
    </w:p>
    <w:p w14:paraId="7BE45D71" w14:textId="7A195F1B" w:rsidR="007A52A3" w:rsidRPr="00214121" w:rsidRDefault="007A52A3" w:rsidP="00214121">
      <w:pPr>
        <w:spacing w:line="360" w:lineRule="auto"/>
        <w:rPr>
          <w:rFonts w:ascii="Arial" w:hAnsi="Arial"/>
        </w:rPr>
      </w:pPr>
      <w:r w:rsidRPr="00214121">
        <w:rPr>
          <w:rFonts w:ascii="Arial" w:hAnsi="Arial"/>
        </w:rPr>
        <w:t>An additional deferred tax liability will have to be recognised on the fair value gain.</w:t>
      </w:r>
      <w:r>
        <w:rPr>
          <w:rFonts w:ascii="Arial" w:hAnsi="Arial"/>
        </w:rPr>
        <w:t xml:space="preserve"> </w:t>
      </w:r>
      <w:r w:rsidRPr="00214121">
        <w:rPr>
          <w:rFonts w:ascii="Arial" w:hAnsi="Arial"/>
        </w:rPr>
        <w:t>If it is assumed that the rate of tax applied to the sale of the asset will be 20%, the deferred tax liability is calculated at £4,000 (£20,000 x 20%) and the prior</w:t>
      </w:r>
      <w:r w:rsidR="00112798">
        <w:rPr>
          <w:rFonts w:ascii="Arial" w:hAnsi="Arial"/>
        </w:rPr>
        <w:t>-</w:t>
      </w:r>
      <w:r w:rsidRPr="00214121">
        <w:rPr>
          <w:rFonts w:ascii="Arial" w:hAnsi="Arial"/>
        </w:rPr>
        <w:t>year adjustment will be:</w:t>
      </w:r>
    </w:p>
    <w:p w14:paraId="02E1C1EC" w14:textId="77777777" w:rsidR="007A52A3" w:rsidRPr="00214121" w:rsidRDefault="007A52A3" w:rsidP="00214121">
      <w:pPr>
        <w:spacing w:line="360" w:lineRule="auto"/>
        <w:rPr>
          <w:rFonts w:ascii="Arial" w:hAnsi="Arial"/>
        </w:rPr>
      </w:pPr>
    </w:p>
    <w:p w14:paraId="29D9369B" w14:textId="3EF1B9E9" w:rsidR="007A52A3" w:rsidRPr="00214121" w:rsidRDefault="007A52A3" w:rsidP="00214121">
      <w:pPr>
        <w:spacing w:line="360" w:lineRule="auto"/>
        <w:rPr>
          <w:rFonts w:ascii="Arial" w:hAnsi="Arial"/>
        </w:rPr>
      </w:pPr>
      <w:r w:rsidRPr="00214121">
        <w:rPr>
          <w:rFonts w:ascii="Arial" w:hAnsi="Arial"/>
        </w:rPr>
        <w:t xml:space="preserve">Dr tax expense </w:t>
      </w:r>
      <w:r w:rsidRPr="00214121">
        <w:rPr>
          <w:rFonts w:ascii="Arial" w:hAnsi="Arial"/>
        </w:rPr>
        <w:tab/>
      </w:r>
      <w:r w:rsidRPr="00214121">
        <w:rPr>
          <w:rFonts w:ascii="Arial" w:hAnsi="Arial"/>
        </w:rPr>
        <w:tab/>
      </w:r>
      <w:r w:rsidRPr="00214121">
        <w:rPr>
          <w:rFonts w:ascii="Arial" w:hAnsi="Arial"/>
        </w:rPr>
        <w:tab/>
      </w:r>
      <w:r w:rsidR="00112798">
        <w:rPr>
          <w:rFonts w:ascii="Arial" w:hAnsi="Arial"/>
        </w:rPr>
        <w:tab/>
      </w:r>
      <w:r w:rsidRPr="00214121">
        <w:rPr>
          <w:rFonts w:ascii="Arial" w:hAnsi="Arial"/>
        </w:rPr>
        <w:t>£4,000</w:t>
      </w:r>
    </w:p>
    <w:p w14:paraId="4F901E07" w14:textId="2B7DBA86" w:rsidR="007A52A3" w:rsidRPr="00214121" w:rsidRDefault="007A52A3" w:rsidP="00214121">
      <w:pPr>
        <w:spacing w:line="360" w:lineRule="auto"/>
        <w:rPr>
          <w:rFonts w:ascii="Arial" w:hAnsi="Arial"/>
        </w:rPr>
      </w:pPr>
      <w:r w:rsidRPr="00214121">
        <w:rPr>
          <w:rFonts w:ascii="Arial" w:hAnsi="Arial"/>
        </w:rPr>
        <w:t xml:space="preserve">Cr deferred tax provision </w:t>
      </w:r>
      <w:r w:rsidRPr="00214121">
        <w:rPr>
          <w:rFonts w:ascii="Arial" w:hAnsi="Arial"/>
        </w:rPr>
        <w:tab/>
      </w:r>
      <w:r w:rsidR="00112798">
        <w:rPr>
          <w:rFonts w:ascii="Arial" w:hAnsi="Arial"/>
        </w:rPr>
        <w:tab/>
      </w:r>
      <w:r w:rsidRPr="00214121">
        <w:rPr>
          <w:rFonts w:ascii="Arial" w:hAnsi="Arial"/>
        </w:rPr>
        <w:t>£4,000</w:t>
      </w:r>
    </w:p>
    <w:p w14:paraId="66DCE1A9" w14:textId="6F607DA2" w:rsidR="007A52A3" w:rsidRPr="00214121" w:rsidRDefault="00A12C4F" w:rsidP="00214121">
      <w:pPr>
        <w:spacing w:line="360" w:lineRule="auto"/>
        <w:rPr>
          <w:rFonts w:ascii="Arial" w:hAnsi="Arial"/>
          <w:i/>
        </w:rPr>
      </w:pPr>
      <w:r w:rsidRPr="00214121">
        <w:rPr>
          <w:rFonts w:ascii="Arial" w:hAnsi="Arial"/>
          <w:i/>
        </w:rPr>
        <w:t>b</w:t>
      </w:r>
      <w:r w:rsidR="007A52A3" w:rsidRPr="00214121">
        <w:rPr>
          <w:rFonts w:ascii="Arial" w:hAnsi="Arial"/>
          <w:i/>
        </w:rPr>
        <w:t xml:space="preserve">eing deferred tax on revaluation gain as at 30 April 2016 </w:t>
      </w:r>
    </w:p>
    <w:p w14:paraId="42C9F88C" w14:textId="77777777" w:rsidR="007A52A3" w:rsidRPr="00214121" w:rsidRDefault="007A52A3" w:rsidP="00214121">
      <w:pPr>
        <w:spacing w:line="360" w:lineRule="auto"/>
        <w:rPr>
          <w:rFonts w:ascii="Arial" w:hAnsi="Arial"/>
          <w:i/>
        </w:rPr>
      </w:pPr>
    </w:p>
    <w:p w14:paraId="5950D8C4" w14:textId="66FE9448" w:rsidR="007A52A3" w:rsidRPr="00214121" w:rsidRDefault="00A12C4F" w:rsidP="00214121">
      <w:pPr>
        <w:spacing w:line="360" w:lineRule="auto"/>
        <w:rPr>
          <w:rFonts w:ascii="Arial" w:hAnsi="Arial"/>
          <w:b/>
        </w:rPr>
      </w:pPr>
      <w:r w:rsidRPr="00214121">
        <w:rPr>
          <w:rFonts w:ascii="Arial" w:hAnsi="Arial"/>
          <w:b/>
        </w:rPr>
        <w:t>2.</w:t>
      </w:r>
      <w:r w:rsidR="007A52A3" w:rsidRPr="00214121">
        <w:rPr>
          <w:rFonts w:ascii="Arial" w:hAnsi="Arial"/>
          <w:b/>
        </w:rPr>
        <w:t xml:space="preserve"> Interest-free loan to subsidiary</w:t>
      </w:r>
    </w:p>
    <w:p w14:paraId="0D98C31A" w14:textId="6C986172" w:rsidR="007A52A3" w:rsidRPr="00214121" w:rsidRDefault="007A52A3" w:rsidP="00214121">
      <w:pPr>
        <w:spacing w:line="360" w:lineRule="auto"/>
        <w:rPr>
          <w:rFonts w:ascii="Arial" w:hAnsi="Arial"/>
        </w:rPr>
      </w:pPr>
      <w:r w:rsidRPr="00214121">
        <w:rPr>
          <w:rFonts w:ascii="Arial" w:hAnsi="Arial"/>
        </w:rPr>
        <w:t xml:space="preserve">This loan will continue to be treated as a current asset in Smallco’s balance sheet because there are no terms attached to the loan and hence </w:t>
      </w:r>
      <w:r w:rsidR="001E65C8">
        <w:rPr>
          <w:rFonts w:ascii="Arial" w:hAnsi="Arial"/>
        </w:rPr>
        <w:t xml:space="preserve">it </w:t>
      </w:r>
      <w:r w:rsidRPr="00214121">
        <w:rPr>
          <w:rFonts w:ascii="Arial" w:hAnsi="Arial"/>
        </w:rPr>
        <w:t>is treated as being repayable on demand.</w:t>
      </w:r>
      <w:r>
        <w:rPr>
          <w:rFonts w:ascii="Arial" w:hAnsi="Arial"/>
        </w:rPr>
        <w:t xml:space="preserve"> </w:t>
      </w:r>
      <w:r w:rsidRPr="00214121">
        <w:rPr>
          <w:rFonts w:ascii="Arial" w:hAnsi="Arial"/>
        </w:rPr>
        <w:t>The loan in the subsidiary’s financial statements will be shown as a current liability to reflect the on demand feature of the loan.</w:t>
      </w:r>
    </w:p>
    <w:p w14:paraId="38818580" w14:textId="77777777" w:rsidR="007A52A3" w:rsidRPr="00214121" w:rsidRDefault="007A52A3" w:rsidP="00214121">
      <w:pPr>
        <w:spacing w:line="360" w:lineRule="auto"/>
        <w:rPr>
          <w:rFonts w:ascii="Arial" w:hAnsi="Arial"/>
        </w:rPr>
      </w:pPr>
    </w:p>
    <w:p w14:paraId="5BEB5D29" w14:textId="39443CDD" w:rsidR="007A52A3" w:rsidRPr="00214121" w:rsidRDefault="007A52A3" w:rsidP="00214121">
      <w:pPr>
        <w:spacing w:line="360" w:lineRule="auto"/>
        <w:rPr>
          <w:rFonts w:ascii="Arial" w:hAnsi="Arial"/>
          <w:b/>
        </w:rPr>
      </w:pPr>
      <w:r w:rsidRPr="00214121">
        <w:rPr>
          <w:rFonts w:ascii="Arial" w:hAnsi="Arial"/>
          <w:b/>
        </w:rPr>
        <w:t>3</w:t>
      </w:r>
      <w:r w:rsidR="006553CA">
        <w:rPr>
          <w:rFonts w:ascii="Arial" w:hAnsi="Arial"/>
          <w:b/>
        </w:rPr>
        <w:t>.</w:t>
      </w:r>
      <w:r w:rsidRPr="00214121">
        <w:rPr>
          <w:rFonts w:ascii="Arial" w:hAnsi="Arial"/>
          <w:b/>
        </w:rPr>
        <w:t xml:space="preserve"> Holiday pay accrual</w:t>
      </w:r>
    </w:p>
    <w:p w14:paraId="6F61C9AE" w14:textId="738F93BA" w:rsidR="007A52A3" w:rsidRPr="00214121" w:rsidRDefault="007A52A3" w:rsidP="00214121">
      <w:pPr>
        <w:spacing w:line="360" w:lineRule="auto"/>
        <w:rPr>
          <w:rFonts w:ascii="Arial" w:hAnsi="Arial"/>
        </w:rPr>
      </w:pPr>
      <w:r w:rsidRPr="00214121">
        <w:rPr>
          <w:rFonts w:ascii="Arial" w:hAnsi="Arial"/>
        </w:rPr>
        <w:t>The payroll clerk has calculated that an amount of £8,500 was due to the administration staff in respect of holiday pay accrued but not paid as at 30 April 2016.</w:t>
      </w:r>
      <w:r>
        <w:rPr>
          <w:rFonts w:ascii="Arial" w:hAnsi="Arial"/>
        </w:rPr>
        <w:t xml:space="preserve"> </w:t>
      </w:r>
      <w:r w:rsidRPr="00214121">
        <w:rPr>
          <w:rFonts w:ascii="Arial" w:hAnsi="Arial"/>
        </w:rPr>
        <w:t>This is an increase of £1,300 (£7,200 less £8,500) on the holiday pay accrued at the date of transition.</w:t>
      </w:r>
      <w:r>
        <w:rPr>
          <w:rFonts w:ascii="Arial" w:hAnsi="Arial"/>
        </w:rPr>
        <w:t xml:space="preserve"> </w:t>
      </w:r>
      <w:r w:rsidRPr="00214121">
        <w:rPr>
          <w:rFonts w:ascii="Arial" w:hAnsi="Arial"/>
        </w:rPr>
        <w:t>The prior year adjustment will therefore be:</w:t>
      </w:r>
    </w:p>
    <w:p w14:paraId="1583059C" w14:textId="77777777" w:rsidR="007A52A3" w:rsidRPr="00214121" w:rsidRDefault="007A52A3" w:rsidP="00214121">
      <w:pPr>
        <w:spacing w:line="360" w:lineRule="auto"/>
        <w:rPr>
          <w:rFonts w:ascii="Arial" w:hAnsi="Arial"/>
        </w:rPr>
      </w:pPr>
      <w:r w:rsidRPr="00214121">
        <w:rPr>
          <w:rFonts w:ascii="Arial" w:hAnsi="Arial"/>
        </w:rPr>
        <w:tab/>
      </w:r>
    </w:p>
    <w:p w14:paraId="5E7AECA4" w14:textId="1820B504" w:rsidR="007A52A3" w:rsidRPr="00214121" w:rsidRDefault="002F735E" w:rsidP="00214121">
      <w:pPr>
        <w:spacing w:line="360" w:lineRule="auto"/>
        <w:rPr>
          <w:rFonts w:ascii="Arial" w:hAnsi="Arial"/>
        </w:rPr>
      </w:pPr>
      <w:r w:rsidRPr="00214121">
        <w:rPr>
          <w:rFonts w:ascii="Arial" w:hAnsi="Arial"/>
        </w:rPr>
        <w:t xml:space="preserve">Dr staff salaries </w:t>
      </w:r>
      <w:r w:rsidRPr="00214121">
        <w:rPr>
          <w:rFonts w:ascii="Arial" w:hAnsi="Arial"/>
        </w:rPr>
        <w:tab/>
      </w:r>
      <w:r w:rsidRPr="00214121">
        <w:rPr>
          <w:rFonts w:ascii="Arial" w:hAnsi="Arial"/>
        </w:rPr>
        <w:tab/>
      </w:r>
      <w:r>
        <w:rPr>
          <w:rFonts w:ascii="Arial" w:hAnsi="Arial"/>
        </w:rPr>
        <w:tab/>
      </w:r>
      <w:r w:rsidR="007A52A3" w:rsidRPr="00214121">
        <w:rPr>
          <w:rFonts w:ascii="Arial" w:hAnsi="Arial"/>
        </w:rPr>
        <w:t>£1,300</w:t>
      </w:r>
    </w:p>
    <w:p w14:paraId="1637D668" w14:textId="5DD5BAB3" w:rsidR="00CE56F8" w:rsidRPr="00214121" w:rsidRDefault="007A52A3" w:rsidP="00214121">
      <w:pPr>
        <w:spacing w:line="360" w:lineRule="auto"/>
        <w:rPr>
          <w:rFonts w:ascii="Arial" w:hAnsi="Arial"/>
        </w:rPr>
      </w:pPr>
      <w:r w:rsidRPr="00214121">
        <w:rPr>
          <w:rFonts w:ascii="Arial" w:hAnsi="Arial"/>
        </w:rPr>
        <w:t xml:space="preserve">Cr accruals </w:t>
      </w:r>
      <w:r w:rsidRPr="00214121">
        <w:rPr>
          <w:rFonts w:ascii="Arial" w:hAnsi="Arial"/>
        </w:rPr>
        <w:tab/>
      </w:r>
      <w:r w:rsidRPr="00214121">
        <w:rPr>
          <w:rFonts w:ascii="Arial" w:hAnsi="Arial"/>
        </w:rPr>
        <w:tab/>
      </w:r>
      <w:r w:rsidRPr="00214121">
        <w:rPr>
          <w:rFonts w:ascii="Arial" w:hAnsi="Arial"/>
        </w:rPr>
        <w:tab/>
      </w:r>
      <w:r w:rsidR="002F735E">
        <w:rPr>
          <w:rFonts w:ascii="Arial" w:hAnsi="Arial"/>
        </w:rPr>
        <w:tab/>
      </w:r>
      <w:r w:rsidRPr="00214121">
        <w:rPr>
          <w:rFonts w:ascii="Arial" w:hAnsi="Arial"/>
        </w:rPr>
        <w:t>£1,300</w:t>
      </w:r>
    </w:p>
    <w:p w14:paraId="21BAB99F" w14:textId="7F9777A6" w:rsidR="007A52A3" w:rsidRPr="00214121" w:rsidRDefault="00CE56F8" w:rsidP="00214121">
      <w:pPr>
        <w:spacing w:line="360" w:lineRule="auto"/>
        <w:rPr>
          <w:rFonts w:ascii="Arial" w:hAnsi="Arial"/>
          <w:i/>
        </w:rPr>
      </w:pPr>
      <w:r>
        <w:rPr>
          <w:rFonts w:ascii="Arial" w:hAnsi="Arial"/>
          <w:i/>
        </w:rPr>
        <w:t>b</w:t>
      </w:r>
      <w:r w:rsidR="007A52A3" w:rsidRPr="00214121">
        <w:rPr>
          <w:rFonts w:ascii="Arial" w:hAnsi="Arial"/>
          <w:i/>
        </w:rPr>
        <w:t xml:space="preserve">eing increase in holiday pay accrual at 30 April 2016 </w:t>
      </w:r>
    </w:p>
    <w:p w14:paraId="136FCDA0" w14:textId="77777777" w:rsidR="007A52A3" w:rsidRPr="00214121" w:rsidRDefault="007A52A3" w:rsidP="00214121">
      <w:pPr>
        <w:spacing w:line="360" w:lineRule="auto"/>
        <w:rPr>
          <w:rFonts w:ascii="Arial" w:hAnsi="Arial"/>
          <w:i/>
        </w:rPr>
      </w:pPr>
    </w:p>
    <w:p w14:paraId="433023D4" w14:textId="1C9935C9" w:rsidR="007A52A3" w:rsidRPr="00214121" w:rsidRDefault="00CE56F8" w:rsidP="00214121">
      <w:pPr>
        <w:spacing w:line="360" w:lineRule="auto"/>
        <w:rPr>
          <w:rFonts w:ascii="Arial" w:hAnsi="Arial"/>
          <w:b/>
        </w:rPr>
      </w:pPr>
      <w:r w:rsidRPr="00214121">
        <w:rPr>
          <w:rFonts w:ascii="Arial" w:hAnsi="Arial"/>
          <w:b/>
        </w:rPr>
        <w:t xml:space="preserve">4. </w:t>
      </w:r>
      <w:r w:rsidR="007A52A3" w:rsidRPr="00214121">
        <w:rPr>
          <w:rFonts w:ascii="Arial" w:hAnsi="Arial"/>
          <w:b/>
        </w:rPr>
        <w:t>Director’s loan account</w:t>
      </w:r>
    </w:p>
    <w:p w14:paraId="28DB5867" w14:textId="57F18DA5" w:rsidR="007A52A3" w:rsidRPr="00214121" w:rsidRDefault="007A52A3" w:rsidP="00214121">
      <w:pPr>
        <w:spacing w:line="360" w:lineRule="auto"/>
        <w:rPr>
          <w:rFonts w:ascii="Arial" w:hAnsi="Arial"/>
        </w:rPr>
      </w:pPr>
      <w:r w:rsidRPr="00214121">
        <w:rPr>
          <w:rFonts w:ascii="Arial" w:hAnsi="Arial"/>
        </w:rPr>
        <w:t>As the loan made to the director-shareholder does not have any formal loan terms attached to it, this must also be regarded as repayable on demand in the prior year’s financial statements.</w:t>
      </w:r>
      <w:r>
        <w:rPr>
          <w:rFonts w:ascii="Arial" w:hAnsi="Arial"/>
        </w:rPr>
        <w:t xml:space="preserve"> </w:t>
      </w:r>
      <w:r w:rsidRPr="00214121">
        <w:rPr>
          <w:rFonts w:ascii="Arial" w:hAnsi="Arial"/>
        </w:rPr>
        <w:t>A prior</w:t>
      </w:r>
      <w:r w:rsidR="006477BF">
        <w:rPr>
          <w:rFonts w:ascii="Arial" w:hAnsi="Arial"/>
        </w:rPr>
        <w:t>-</w:t>
      </w:r>
      <w:r w:rsidRPr="00214121">
        <w:rPr>
          <w:rFonts w:ascii="Arial" w:hAnsi="Arial"/>
        </w:rPr>
        <w:t>year adjustment must be made to reallocate the loan from long-term liabilities to current liabilities as follows:</w:t>
      </w:r>
    </w:p>
    <w:p w14:paraId="01DB3FD6" w14:textId="77777777" w:rsidR="007A52A3" w:rsidRPr="00214121" w:rsidRDefault="007A52A3" w:rsidP="00214121">
      <w:pPr>
        <w:spacing w:line="360" w:lineRule="auto"/>
        <w:rPr>
          <w:rFonts w:ascii="Arial" w:hAnsi="Arial"/>
        </w:rPr>
      </w:pPr>
    </w:p>
    <w:p w14:paraId="532CB51B" w14:textId="110DB668" w:rsidR="007A52A3" w:rsidRPr="00214121" w:rsidRDefault="007A52A3" w:rsidP="00214121">
      <w:pPr>
        <w:spacing w:line="360" w:lineRule="auto"/>
        <w:rPr>
          <w:rFonts w:ascii="Arial" w:hAnsi="Arial"/>
        </w:rPr>
      </w:pPr>
      <w:r w:rsidRPr="00214121">
        <w:rPr>
          <w:rFonts w:ascii="Arial" w:hAnsi="Arial"/>
        </w:rPr>
        <w:t xml:space="preserve">Dr long-term liabilities </w:t>
      </w:r>
      <w:r w:rsidRPr="00214121">
        <w:rPr>
          <w:rFonts w:ascii="Arial" w:hAnsi="Arial"/>
        </w:rPr>
        <w:tab/>
      </w:r>
      <w:r w:rsidRPr="00214121">
        <w:rPr>
          <w:rFonts w:ascii="Arial" w:hAnsi="Arial"/>
        </w:rPr>
        <w:tab/>
        <w:t>£65,000</w:t>
      </w:r>
    </w:p>
    <w:p w14:paraId="4D2D350A" w14:textId="339619D3" w:rsidR="007A52A3" w:rsidRPr="00214121" w:rsidRDefault="007A52A3" w:rsidP="00214121">
      <w:pPr>
        <w:spacing w:line="360" w:lineRule="auto"/>
        <w:rPr>
          <w:rFonts w:ascii="Arial" w:hAnsi="Arial"/>
        </w:rPr>
      </w:pPr>
      <w:r w:rsidRPr="00214121">
        <w:rPr>
          <w:rFonts w:ascii="Arial" w:hAnsi="Arial"/>
        </w:rPr>
        <w:t xml:space="preserve">Cr current liabilities </w:t>
      </w:r>
      <w:r w:rsidRPr="00214121">
        <w:rPr>
          <w:rFonts w:ascii="Arial" w:hAnsi="Arial"/>
        </w:rPr>
        <w:tab/>
      </w:r>
      <w:r w:rsidRPr="00214121">
        <w:rPr>
          <w:rFonts w:ascii="Arial" w:hAnsi="Arial"/>
        </w:rPr>
        <w:tab/>
      </w:r>
      <w:r w:rsidR="008214A1">
        <w:rPr>
          <w:rFonts w:ascii="Arial" w:hAnsi="Arial"/>
        </w:rPr>
        <w:tab/>
      </w:r>
      <w:r w:rsidRPr="00214121">
        <w:rPr>
          <w:rFonts w:ascii="Arial" w:hAnsi="Arial"/>
        </w:rPr>
        <w:t>£65,000</w:t>
      </w:r>
    </w:p>
    <w:p w14:paraId="5A589FDE" w14:textId="3F7E042B" w:rsidR="007A52A3" w:rsidRPr="00214121" w:rsidRDefault="00130CB2" w:rsidP="00214121">
      <w:pPr>
        <w:spacing w:line="360" w:lineRule="auto"/>
        <w:rPr>
          <w:rFonts w:ascii="Arial" w:hAnsi="Arial"/>
          <w:i/>
        </w:rPr>
      </w:pPr>
      <w:r w:rsidRPr="00214121">
        <w:rPr>
          <w:rFonts w:ascii="Arial" w:hAnsi="Arial"/>
          <w:i/>
        </w:rPr>
        <w:t>b</w:t>
      </w:r>
      <w:r w:rsidR="007A52A3" w:rsidRPr="00214121">
        <w:rPr>
          <w:rFonts w:ascii="Arial" w:hAnsi="Arial"/>
          <w:i/>
        </w:rPr>
        <w:t>eing reallocation of director’s current account in the prior year</w:t>
      </w:r>
    </w:p>
    <w:p w14:paraId="14F9DC52" w14:textId="77777777" w:rsidR="007A52A3" w:rsidRPr="00214121" w:rsidRDefault="007A52A3" w:rsidP="00214121">
      <w:pPr>
        <w:spacing w:line="360" w:lineRule="auto"/>
        <w:rPr>
          <w:rFonts w:ascii="Arial" w:hAnsi="Arial"/>
          <w:i/>
        </w:rPr>
      </w:pPr>
    </w:p>
    <w:p w14:paraId="5085F301" w14:textId="2F724928" w:rsidR="007A52A3" w:rsidRPr="00214121" w:rsidRDefault="007A52A3" w:rsidP="00214121">
      <w:pPr>
        <w:spacing w:line="360" w:lineRule="auto"/>
        <w:rPr>
          <w:rFonts w:ascii="Arial" w:hAnsi="Arial"/>
        </w:rPr>
      </w:pPr>
      <w:r w:rsidRPr="00214121">
        <w:rPr>
          <w:rFonts w:ascii="Arial" w:hAnsi="Arial"/>
        </w:rPr>
        <w:t>Once the above prior</w:t>
      </w:r>
      <w:r w:rsidR="00130CB2">
        <w:rPr>
          <w:rFonts w:ascii="Arial" w:hAnsi="Arial"/>
        </w:rPr>
        <w:t>-</w:t>
      </w:r>
      <w:r w:rsidRPr="00214121">
        <w:rPr>
          <w:rFonts w:ascii="Arial" w:hAnsi="Arial"/>
        </w:rPr>
        <w:t>year adjustments have been put through, the trial balance will be as follows:</w:t>
      </w:r>
    </w:p>
    <w:p w14:paraId="3DC85690" w14:textId="77777777" w:rsidR="007A52A3" w:rsidRPr="00214121" w:rsidRDefault="007A52A3" w:rsidP="00214121">
      <w:pPr>
        <w:spacing w:line="360" w:lineRule="auto"/>
        <w:rPr>
          <w:rFonts w:ascii="Arial" w:hAnsi="Arial"/>
        </w:rPr>
      </w:pPr>
    </w:p>
    <w:p w14:paraId="49ADAD0D" w14:textId="77777777" w:rsidR="007A52A3" w:rsidRPr="00214121" w:rsidRDefault="007A52A3" w:rsidP="00214121">
      <w:pPr>
        <w:spacing w:line="360" w:lineRule="auto"/>
        <w:rPr>
          <w:rFonts w:ascii="Arial" w:hAnsi="Arial"/>
        </w:rPr>
      </w:pPr>
    </w:p>
    <w:p w14:paraId="26D4A44A" w14:textId="77777777" w:rsidR="007A52A3" w:rsidRPr="00214121" w:rsidRDefault="007A52A3" w:rsidP="00214121">
      <w:pPr>
        <w:spacing w:line="360" w:lineRule="auto"/>
        <w:rPr>
          <w:rFonts w:ascii="Arial" w:hAnsi="Arial"/>
        </w:rPr>
      </w:pPr>
    </w:p>
    <w:p w14:paraId="55111245" w14:textId="77777777" w:rsidR="00130CB2" w:rsidRDefault="00130CB2">
      <w:r>
        <w:br w:type="page"/>
      </w:r>
    </w:p>
    <w:tbl>
      <w:tblPr>
        <w:tblW w:w="0" w:type="auto"/>
        <w:tblLook w:val="04A0" w:firstRow="1" w:lastRow="0" w:firstColumn="1" w:lastColumn="0" w:noHBand="0" w:noVBand="1"/>
      </w:tblPr>
      <w:tblGrid>
        <w:gridCol w:w="4213"/>
        <w:gridCol w:w="236"/>
        <w:gridCol w:w="236"/>
        <w:gridCol w:w="222"/>
        <w:gridCol w:w="222"/>
        <w:gridCol w:w="1195"/>
        <w:gridCol w:w="1195"/>
      </w:tblGrid>
      <w:tr w:rsidR="007A52A3" w:rsidRPr="007A52A3" w14:paraId="14A38B51" w14:textId="77777777" w:rsidTr="00B9592E">
        <w:trPr>
          <w:trHeight w:val="300"/>
        </w:trPr>
        <w:tc>
          <w:tcPr>
            <w:tcW w:w="0" w:type="auto"/>
            <w:tcBorders>
              <w:top w:val="nil"/>
              <w:left w:val="nil"/>
              <w:bottom w:val="nil"/>
              <w:right w:val="nil"/>
            </w:tcBorders>
            <w:shd w:val="clear" w:color="auto" w:fill="auto"/>
            <w:noWrap/>
            <w:vAlign w:val="bottom"/>
            <w:hideMark/>
          </w:tcPr>
          <w:p w14:paraId="46AF792F" w14:textId="4E6D6038" w:rsidR="007A52A3" w:rsidRPr="00214121" w:rsidRDefault="007A52A3" w:rsidP="00214121">
            <w:pPr>
              <w:spacing w:line="360" w:lineRule="auto"/>
              <w:rPr>
                <w:rFonts w:ascii="Arial" w:hAnsi="Arial"/>
                <w:b/>
                <w:bCs/>
                <w:color w:val="000000"/>
                <w:sz w:val="22"/>
                <w:szCs w:val="22"/>
                <w:lang w:val="en-US"/>
              </w:rPr>
            </w:pPr>
            <w:r w:rsidRPr="00214121">
              <w:rPr>
                <w:rFonts w:ascii="Arial" w:hAnsi="Arial"/>
                <w:b/>
                <w:bCs/>
                <w:color w:val="000000"/>
                <w:sz w:val="22"/>
                <w:szCs w:val="22"/>
                <w:lang w:val="en-US"/>
              </w:rPr>
              <w:lastRenderedPageBreak/>
              <w:t>Smallco Ltd</w:t>
            </w:r>
          </w:p>
        </w:tc>
        <w:tc>
          <w:tcPr>
            <w:tcW w:w="0" w:type="auto"/>
            <w:tcBorders>
              <w:top w:val="nil"/>
              <w:left w:val="nil"/>
              <w:bottom w:val="nil"/>
              <w:right w:val="nil"/>
            </w:tcBorders>
            <w:shd w:val="clear" w:color="auto" w:fill="auto"/>
            <w:noWrap/>
            <w:vAlign w:val="bottom"/>
            <w:hideMark/>
          </w:tcPr>
          <w:p w14:paraId="54C8D2CB" w14:textId="77777777" w:rsidR="007A52A3" w:rsidRPr="00214121" w:rsidRDefault="007A52A3" w:rsidP="00214121">
            <w:pPr>
              <w:spacing w:line="360" w:lineRule="auto"/>
              <w:rPr>
                <w:rFonts w:ascii="Arial" w:hAnsi="Arial"/>
                <w:b/>
                <w:bCs/>
                <w:color w:val="000000"/>
                <w:sz w:val="22"/>
                <w:szCs w:val="22"/>
                <w:lang w:val="en-US"/>
              </w:rPr>
            </w:pPr>
          </w:p>
        </w:tc>
        <w:tc>
          <w:tcPr>
            <w:tcW w:w="0" w:type="auto"/>
            <w:tcBorders>
              <w:top w:val="nil"/>
              <w:left w:val="nil"/>
              <w:bottom w:val="nil"/>
              <w:right w:val="nil"/>
            </w:tcBorders>
            <w:shd w:val="clear" w:color="auto" w:fill="auto"/>
            <w:noWrap/>
            <w:vAlign w:val="bottom"/>
            <w:hideMark/>
          </w:tcPr>
          <w:p w14:paraId="374BA3F7"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6BDE1BFC"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42E489E8"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548B70C2" w14:textId="77777777" w:rsidR="007A52A3" w:rsidRPr="00214121" w:rsidRDefault="007A52A3" w:rsidP="00214121">
            <w:pPr>
              <w:spacing w:line="360" w:lineRule="auto"/>
              <w:jc w:val="center"/>
              <w:rPr>
                <w:rFonts w:ascii="Arial" w:hAnsi="Arial"/>
                <w:lang w:val="en-US"/>
              </w:rPr>
            </w:pPr>
          </w:p>
        </w:tc>
        <w:tc>
          <w:tcPr>
            <w:tcW w:w="0" w:type="auto"/>
            <w:tcBorders>
              <w:top w:val="nil"/>
              <w:left w:val="nil"/>
              <w:bottom w:val="nil"/>
              <w:right w:val="nil"/>
            </w:tcBorders>
            <w:shd w:val="clear" w:color="auto" w:fill="auto"/>
            <w:noWrap/>
            <w:vAlign w:val="bottom"/>
            <w:hideMark/>
          </w:tcPr>
          <w:p w14:paraId="04719666" w14:textId="77777777" w:rsidR="007A52A3" w:rsidRPr="00214121" w:rsidRDefault="007A52A3" w:rsidP="00214121">
            <w:pPr>
              <w:spacing w:line="360" w:lineRule="auto"/>
              <w:jc w:val="right"/>
              <w:rPr>
                <w:rFonts w:ascii="Arial" w:hAnsi="Arial"/>
                <w:lang w:val="en-US"/>
              </w:rPr>
            </w:pPr>
          </w:p>
        </w:tc>
      </w:tr>
      <w:tr w:rsidR="007A52A3" w:rsidRPr="007A52A3" w14:paraId="37E08157"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6124681B" w14:textId="77777777" w:rsidR="007A52A3" w:rsidRPr="00214121" w:rsidRDefault="007A52A3" w:rsidP="00214121">
            <w:pPr>
              <w:spacing w:line="360" w:lineRule="auto"/>
              <w:rPr>
                <w:rFonts w:ascii="Arial" w:hAnsi="Arial"/>
                <w:b/>
                <w:bCs/>
                <w:color w:val="000000"/>
                <w:sz w:val="22"/>
                <w:szCs w:val="22"/>
                <w:lang w:val="en-US"/>
              </w:rPr>
            </w:pPr>
            <w:r w:rsidRPr="00214121">
              <w:rPr>
                <w:rFonts w:ascii="Arial" w:hAnsi="Arial"/>
                <w:b/>
                <w:bCs/>
                <w:color w:val="000000"/>
                <w:sz w:val="22"/>
                <w:szCs w:val="22"/>
                <w:lang w:val="en-US"/>
              </w:rPr>
              <w:t xml:space="preserve">Trial balance as at 30 April 2016 </w:t>
            </w:r>
          </w:p>
        </w:tc>
        <w:tc>
          <w:tcPr>
            <w:tcW w:w="0" w:type="auto"/>
            <w:tcBorders>
              <w:top w:val="nil"/>
              <w:left w:val="nil"/>
              <w:bottom w:val="nil"/>
              <w:right w:val="nil"/>
            </w:tcBorders>
            <w:shd w:val="clear" w:color="auto" w:fill="auto"/>
            <w:noWrap/>
            <w:vAlign w:val="bottom"/>
            <w:hideMark/>
          </w:tcPr>
          <w:p w14:paraId="4CBAD12A" w14:textId="77777777" w:rsidR="007A52A3" w:rsidRPr="00214121" w:rsidRDefault="007A52A3" w:rsidP="00214121">
            <w:pPr>
              <w:spacing w:line="360" w:lineRule="auto"/>
              <w:rPr>
                <w:rFonts w:ascii="Arial" w:hAnsi="Arial"/>
                <w:b/>
                <w:bCs/>
                <w:color w:val="000000"/>
                <w:lang w:val="en-US"/>
              </w:rPr>
            </w:pPr>
          </w:p>
        </w:tc>
        <w:tc>
          <w:tcPr>
            <w:tcW w:w="0" w:type="auto"/>
            <w:tcBorders>
              <w:top w:val="nil"/>
              <w:left w:val="nil"/>
              <w:bottom w:val="nil"/>
              <w:right w:val="nil"/>
            </w:tcBorders>
            <w:shd w:val="clear" w:color="auto" w:fill="auto"/>
            <w:noWrap/>
            <w:vAlign w:val="bottom"/>
            <w:hideMark/>
          </w:tcPr>
          <w:p w14:paraId="35F70DAD"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61D48262"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309ACFF4" w14:textId="77777777" w:rsidR="007A52A3" w:rsidRPr="00214121" w:rsidRDefault="007A52A3" w:rsidP="00214121">
            <w:pPr>
              <w:spacing w:line="360" w:lineRule="auto"/>
              <w:jc w:val="center"/>
              <w:rPr>
                <w:rFonts w:ascii="Arial" w:hAnsi="Arial"/>
                <w:lang w:val="en-US"/>
              </w:rPr>
            </w:pPr>
          </w:p>
        </w:tc>
        <w:tc>
          <w:tcPr>
            <w:tcW w:w="0" w:type="auto"/>
            <w:tcBorders>
              <w:top w:val="nil"/>
              <w:left w:val="nil"/>
              <w:bottom w:val="nil"/>
              <w:right w:val="nil"/>
            </w:tcBorders>
            <w:shd w:val="clear" w:color="auto" w:fill="auto"/>
            <w:noWrap/>
            <w:vAlign w:val="bottom"/>
            <w:hideMark/>
          </w:tcPr>
          <w:p w14:paraId="3E28A220" w14:textId="77777777" w:rsidR="007A52A3" w:rsidRPr="00214121" w:rsidRDefault="007A52A3" w:rsidP="00214121">
            <w:pPr>
              <w:spacing w:line="360" w:lineRule="auto"/>
              <w:jc w:val="right"/>
              <w:rPr>
                <w:rFonts w:ascii="Arial" w:hAnsi="Arial"/>
                <w:lang w:val="en-US"/>
              </w:rPr>
            </w:pPr>
          </w:p>
        </w:tc>
      </w:tr>
      <w:tr w:rsidR="007A52A3" w:rsidRPr="00214121" w14:paraId="1838C736" w14:textId="77777777" w:rsidTr="00B9592E">
        <w:trPr>
          <w:trHeight w:val="300"/>
        </w:trPr>
        <w:tc>
          <w:tcPr>
            <w:tcW w:w="0" w:type="auto"/>
            <w:tcBorders>
              <w:top w:val="nil"/>
              <w:left w:val="nil"/>
              <w:bottom w:val="nil"/>
              <w:right w:val="nil"/>
            </w:tcBorders>
            <w:shd w:val="clear" w:color="auto" w:fill="auto"/>
            <w:noWrap/>
            <w:vAlign w:val="bottom"/>
            <w:hideMark/>
          </w:tcPr>
          <w:p w14:paraId="3ACEA6AB" w14:textId="77777777" w:rsidR="007A52A3" w:rsidRPr="00214121" w:rsidRDefault="007A52A3" w:rsidP="00214121">
            <w:pPr>
              <w:jc w:val="right"/>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24DCD393"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46AD85FE"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09FA4814"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61ABE2D5"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1A29EEBB" w14:textId="266384F9"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   Dr</w:t>
            </w:r>
          </w:p>
        </w:tc>
        <w:tc>
          <w:tcPr>
            <w:tcW w:w="0" w:type="auto"/>
            <w:tcBorders>
              <w:top w:val="nil"/>
              <w:left w:val="nil"/>
              <w:bottom w:val="nil"/>
              <w:right w:val="nil"/>
            </w:tcBorders>
            <w:shd w:val="clear" w:color="auto" w:fill="auto"/>
            <w:noWrap/>
            <w:vAlign w:val="bottom"/>
            <w:hideMark/>
          </w:tcPr>
          <w:p w14:paraId="55B83E3E" w14:textId="64E5F424"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   Cr</w:t>
            </w:r>
          </w:p>
        </w:tc>
      </w:tr>
      <w:tr w:rsidR="007A52A3" w:rsidRPr="00214121" w14:paraId="2117D073" w14:textId="77777777" w:rsidTr="00B9592E">
        <w:trPr>
          <w:trHeight w:val="300"/>
        </w:trPr>
        <w:tc>
          <w:tcPr>
            <w:tcW w:w="0" w:type="auto"/>
            <w:tcBorders>
              <w:top w:val="nil"/>
              <w:left w:val="nil"/>
              <w:bottom w:val="nil"/>
              <w:right w:val="nil"/>
            </w:tcBorders>
            <w:shd w:val="clear" w:color="auto" w:fill="auto"/>
            <w:noWrap/>
            <w:vAlign w:val="bottom"/>
          </w:tcPr>
          <w:p w14:paraId="553F31AA" w14:textId="77777777" w:rsidR="007A52A3" w:rsidRPr="00214121" w:rsidRDefault="007A52A3" w:rsidP="00214121">
            <w:pPr>
              <w:jc w:val="right"/>
              <w:rPr>
                <w:rFonts w:ascii="Arial" w:hAnsi="Arial"/>
                <w:sz w:val="22"/>
                <w:szCs w:val="22"/>
                <w:lang w:val="en-US"/>
              </w:rPr>
            </w:pPr>
          </w:p>
        </w:tc>
        <w:tc>
          <w:tcPr>
            <w:tcW w:w="0" w:type="auto"/>
            <w:tcBorders>
              <w:top w:val="nil"/>
              <w:left w:val="nil"/>
              <w:bottom w:val="nil"/>
              <w:right w:val="nil"/>
            </w:tcBorders>
            <w:shd w:val="clear" w:color="auto" w:fill="auto"/>
            <w:noWrap/>
            <w:vAlign w:val="bottom"/>
          </w:tcPr>
          <w:p w14:paraId="746138CC"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tcPr>
          <w:p w14:paraId="50CCD57B"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tcPr>
          <w:p w14:paraId="5D26B4C3"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tcPr>
          <w:p w14:paraId="30F177F4"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tcPr>
          <w:p w14:paraId="3A93A0AF" w14:textId="4DFC033B"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  £       </w:t>
            </w:r>
          </w:p>
        </w:tc>
        <w:tc>
          <w:tcPr>
            <w:tcW w:w="0" w:type="auto"/>
            <w:tcBorders>
              <w:top w:val="nil"/>
              <w:left w:val="nil"/>
              <w:bottom w:val="nil"/>
              <w:right w:val="nil"/>
            </w:tcBorders>
            <w:shd w:val="clear" w:color="auto" w:fill="auto"/>
            <w:noWrap/>
            <w:vAlign w:val="bottom"/>
          </w:tcPr>
          <w:p w14:paraId="4C8839A2" w14:textId="7353E73F"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    £</w:t>
            </w:r>
          </w:p>
        </w:tc>
      </w:tr>
      <w:tr w:rsidR="007A52A3" w:rsidRPr="00214121" w14:paraId="170D0B50"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29A48207"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Plant and machinery </w:t>
            </w:r>
          </w:p>
        </w:tc>
        <w:tc>
          <w:tcPr>
            <w:tcW w:w="0" w:type="auto"/>
            <w:tcBorders>
              <w:top w:val="nil"/>
              <w:left w:val="nil"/>
              <w:bottom w:val="nil"/>
              <w:right w:val="nil"/>
            </w:tcBorders>
            <w:shd w:val="clear" w:color="auto" w:fill="auto"/>
            <w:noWrap/>
            <w:vAlign w:val="bottom"/>
            <w:hideMark/>
          </w:tcPr>
          <w:p w14:paraId="271D0D80"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209BC1DE"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12691760"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64B27A6A"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104,801 </w:t>
            </w:r>
          </w:p>
        </w:tc>
        <w:tc>
          <w:tcPr>
            <w:tcW w:w="0" w:type="auto"/>
            <w:tcBorders>
              <w:top w:val="nil"/>
              <w:left w:val="nil"/>
              <w:bottom w:val="nil"/>
              <w:right w:val="nil"/>
            </w:tcBorders>
            <w:shd w:val="clear" w:color="auto" w:fill="auto"/>
            <w:noWrap/>
            <w:vAlign w:val="bottom"/>
            <w:hideMark/>
          </w:tcPr>
          <w:p w14:paraId="2E0F2BB8" w14:textId="77777777" w:rsidR="007A52A3" w:rsidRPr="00214121" w:rsidRDefault="007A52A3" w:rsidP="00214121">
            <w:pPr>
              <w:jc w:val="right"/>
              <w:rPr>
                <w:rFonts w:ascii="Arial" w:hAnsi="Arial"/>
                <w:color w:val="000000"/>
                <w:sz w:val="22"/>
                <w:szCs w:val="22"/>
                <w:lang w:val="en-US"/>
              </w:rPr>
            </w:pPr>
          </w:p>
        </w:tc>
      </w:tr>
      <w:tr w:rsidR="007A52A3" w:rsidRPr="00214121" w14:paraId="2BCEC326"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6A77AAE4"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Plant and machinery depreciation </w:t>
            </w:r>
          </w:p>
        </w:tc>
        <w:tc>
          <w:tcPr>
            <w:tcW w:w="0" w:type="auto"/>
            <w:tcBorders>
              <w:top w:val="nil"/>
              <w:left w:val="nil"/>
              <w:bottom w:val="nil"/>
              <w:right w:val="nil"/>
            </w:tcBorders>
            <w:shd w:val="clear" w:color="auto" w:fill="auto"/>
            <w:noWrap/>
            <w:vAlign w:val="bottom"/>
            <w:hideMark/>
          </w:tcPr>
          <w:p w14:paraId="0BE3DAD4"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3F4E9D01"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45EA0CB9"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3EF6FB7C" w14:textId="77777777" w:rsidR="007A52A3" w:rsidRPr="00214121" w:rsidRDefault="007A52A3" w:rsidP="00214121">
            <w:pPr>
              <w:jc w:val="cente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241A9B91"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52,395 </w:t>
            </w:r>
          </w:p>
        </w:tc>
      </w:tr>
      <w:tr w:rsidR="007A52A3" w:rsidRPr="00214121" w14:paraId="73F12E57"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3621487F"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Fixtures and fittings </w:t>
            </w:r>
          </w:p>
        </w:tc>
        <w:tc>
          <w:tcPr>
            <w:tcW w:w="0" w:type="auto"/>
            <w:tcBorders>
              <w:top w:val="nil"/>
              <w:left w:val="nil"/>
              <w:bottom w:val="nil"/>
              <w:right w:val="nil"/>
            </w:tcBorders>
            <w:shd w:val="clear" w:color="auto" w:fill="auto"/>
            <w:noWrap/>
            <w:vAlign w:val="bottom"/>
            <w:hideMark/>
          </w:tcPr>
          <w:p w14:paraId="35E6F2C0"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77FB7595"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04DABA10"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56209EB3"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308,987 </w:t>
            </w:r>
          </w:p>
        </w:tc>
        <w:tc>
          <w:tcPr>
            <w:tcW w:w="0" w:type="auto"/>
            <w:tcBorders>
              <w:top w:val="nil"/>
              <w:left w:val="nil"/>
              <w:bottom w:val="nil"/>
              <w:right w:val="nil"/>
            </w:tcBorders>
            <w:shd w:val="clear" w:color="auto" w:fill="auto"/>
            <w:noWrap/>
            <w:vAlign w:val="bottom"/>
            <w:hideMark/>
          </w:tcPr>
          <w:p w14:paraId="3C751D48" w14:textId="77777777" w:rsidR="007A52A3" w:rsidRPr="00214121" w:rsidRDefault="007A52A3" w:rsidP="00214121">
            <w:pPr>
              <w:jc w:val="right"/>
              <w:rPr>
                <w:rFonts w:ascii="Arial" w:hAnsi="Arial"/>
                <w:color w:val="000000"/>
                <w:sz w:val="22"/>
                <w:szCs w:val="22"/>
                <w:lang w:val="en-US"/>
              </w:rPr>
            </w:pPr>
          </w:p>
        </w:tc>
      </w:tr>
      <w:tr w:rsidR="007A52A3" w:rsidRPr="00214121" w14:paraId="6735B7F0"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068BC1FC"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Fixtures and fittings depreciation </w:t>
            </w:r>
          </w:p>
        </w:tc>
        <w:tc>
          <w:tcPr>
            <w:tcW w:w="0" w:type="auto"/>
            <w:tcBorders>
              <w:top w:val="nil"/>
              <w:left w:val="nil"/>
              <w:bottom w:val="nil"/>
              <w:right w:val="nil"/>
            </w:tcBorders>
            <w:shd w:val="clear" w:color="auto" w:fill="auto"/>
            <w:noWrap/>
            <w:vAlign w:val="bottom"/>
            <w:hideMark/>
          </w:tcPr>
          <w:p w14:paraId="3A9D961F"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4A94F83B"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5003C886"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3C309565" w14:textId="77777777" w:rsidR="007A52A3" w:rsidRPr="00214121" w:rsidRDefault="007A52A3" w:rsidP="00214121">
            <w:pPr>
              <w:jc w:val="cente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2EE01FEE"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235,851 </w:t>
            </w:r>
          </w:p>
        </w:tc>
      </w:tr>
      <w:tr w:rsidR="007A52A3" w:rsidRPr="00214121" w14:paraId="4D1EE081"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12DE6129"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Investment property </w:t>
            </w:r>
          </w:p>
        </w:tc>
        <w:tc>
          <w:tcPr>
            <w:tcW w:w="0" w:type="auto"/>
            <w:tcBorders>
              <w:top w:val="nil"/>
              <w:left w:val="nil"/>
              <w:bottom w:val="nil"/>
              <w:right w:val="nil"/>
            </w:tcBorders>
            <w:shd w:val="clear" w:color="auto" w:fill="auto"/>
            <w:noWrap/>
            <w:vAlign w:val="bottom"/>
            <w:hideMark/>
          </w:tcPr>
          <w:p w14:paraId="784215BE"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1A490E8A"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7FBF88FD"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71F74F56"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226,650 </w:t>
            </w:r>
          </w:p>
        </w:tc>
        <w:tc>
          <w:tcPr>
            <w:tcW w:w="0" w:type="auto"/>
            <w:tcBorders>
              <w:top w:val="nil"/>
              <w:left w:val="nil"/>
              <w:bottom w:val="nil"/>
              <w:right w:val="nil"/>
            </w:tcBorders>
            <w:shd w:val="clear" w:color="auto" w:fill="auto"/>
            <w:noWrap/>
            <w:vAlign w:val="bottom"/>
            <w:hideMark/>
          </w:tcPr>
          <w:p w14:paraId="37AB9925" w14:textId="77777777" w:rsidR="007A52A3" w:rsidRPr="00214121" w:rsidRDefault="007A52A3" w:rsidP="00214121">
            <w:pPr>
              <w:jc w:val="right"/>
              <w:rPr>
                <w:rFonts w:ascii="Arial" w:hAnsi="Arial"/>
                <w:color w:val="000000"/>
                <w:sz w:val="22"/>
                <w:szCs w:val="22"/>
                <w:lang w:val="en-US"/>
              </w:rPr>
            </w:pPr>
          </w:p>
        </w:tc>
      </w:tr>
      <w:tr w:rsidR="007A52A3" w:rsidRPr="00214121" w14:paraId="0FE62141" w14:textId="77777777" w:rsidTr="00B9592E">
        <w:trPr>
          <w:trHeight w:val="300"/>
        </w:trPr>
        <w:tc>
          <w:tcPr>
            <w:tcW w:w="0" w:type="auto"/>
            <w:tcBorders>
              <w:top w:val="nil"/>
              <w:left w:val="nil"/>
              <w:bottom w:val="nil"/>
              <w:right w:val="nil"/>
            </w:tcBorders>
            <w:shd w:val="clear" w:color="auto" w:fill="auto"/>
            <w:noWrap/>
            <w:vAlign w:val="bottom"/>
            <w:hideMark/>
          </w:tcPr>
          <w:p w14:paraId="34979A51"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Stock </w:t>
            </w:r>
          </w:p>
        </w:tc>
        <w:tc>
          <w:tcPr>
            <w:tcW w:w="0" w:type="auto"/>
            <w:tcBorders>
              <w:top w:val="nil"/>
              <w:left w:val="nil"/>
              <w:bottom w:val="nil"/>
              <w:right w:val="nil"/>
            </w:tcBorders>
            <w:shd w:val="clear" w:color="auto" w:fill="auto"/>
            <w:noWrap/>
            <w:vAlign w:val="bottom"/>
            <w:hideMark/>
          </w:tcPr>
          <w:p w14:paraId="3707ED05"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461C9941"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5230348B"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1E5CA1D9"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62B9C424"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13,002 </w:t>
            </w:r>
          </w:p>
        </w:tc>
        <w:tc>
          <w:tcPr>
            <w:tcW w:w="0" w:type="auto"/>
            <w:tcBorders>
              <w:top w:val="nil"/>
              <w:left w:val="nil"/>
              <w:bottom w:val="nil"/>
              <w:right w:val="nil"/>
            </w:tcBorders>
            <w:shd w:val="clear" w:color="auto" w:fill="auto"/>
            <w:noWrap/>
            <w:vAlign w:val="bottom"/>
            <w:hideMark/>
          </w:tcPr>
          <w:p w14:paraId="0BA68FC5" w14:textId="77777777" w:rsidR="007A52A3" w:rsidRPr="00214121" w:rsidRDefault="007A52A3" w:rsidP="00214121">
            <w:pPr>
              <w:jc w:val="right"/>
              <w:rPr>
                <w:rFonts w:ascii="Arial" w:hAnsi="Arial"/>
                <w:color w:val="000000"/>
                <w:sz w:val="22"/>
                <w:szCs w:val="22"/>
                <w:lang w:val="en-US"/>
              </w:rPr>
            </w:pPr>
          </w:p>
        </w:tc>
      </w:tr>
      <w:tr w:rsidR="007A52A3" w:rsidRPr="00214121" w14:paraId="16D3CCA9" w14:textId="77777777" w:rsidTr="00B9592E">
        <w:trPr>
          <w:trHeight w:val="300"/>
        </w:trPr>
        <w:tc>
          <w:tcPr>
            <w:tcW w:w="0" w:type="auto"/>
            <w:tcBorders>
              <w:top w:val="nil"/>
              <w:left w:val="nil"/>
              <w:bottom w:val="nil"/>
              <w:right w:val="nil"/>
            </w:tcBorders>
            <w:shd w:val="clear" w:color="auto" w:fill="auto"/>
            <w:noWrap/>
            <w:vAlign w:val="bottom"/>
            <w:hideMark/>
          </w:tcPr>
          <w:p w14:paraId="0A96864B"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Trade debtors </w:t>
            </w:r>
          </w:p>
        </w:tc>
        <w:tc>
          <w:tcPr>
            <w:tcW w:w="0" w:type="auto"/>
            <w:tcBorders>
              <w:top w:val="nil"/>
              <w:left w:val="nil"/>
              <w:bottom w:val="nil"/>
              <w:right w:val="nil"/>
            </w:tcBorders>
            <w:shd w:val="clear" w:color="auto" w:fill="auto"/>
            <w:noWrap/>
            <w:vAlign w:val="bottom"/>
            <w:hideMark/>
          </w:tcPr>
          <w:p w14:paraId="4BAAB041"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6E38929D"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0B5D8B8C"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1EBF2CBD"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27240EF3"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632,114 </w:t>
            </w:r>
          </w:p>
        </w:tc>
        <w:tc>
          <w:tcPr>
            <w:tcW w:w="0" w:type="auto"/>
            <w:tcBorders>
              <w:top w:val="nil"/>
              <w:left w:val="nil"/>
              <w:bottom w:val="nil"/>
              <w:right w:val="nil"/>
            </w:tcBorders>
            <w:shd w:val="clear" w:color="auto" w:fill="auto"/>
            <w:noWrap/>
            <w:vAlign w:val="bottom"/>
            <w:hideMark/>
          </w:tcPr>
          <w:p w14:paraId="2D5E5446" w14:textId="77777777" w:rsidR="007A52A3" w:rsidRPr="00214121" w:rsidRDefault="007A52A3" w:rsidP="00214121">
            <w:pPr>
              <w:jc w:val="right"/>
              <w:rPr>
                <w:rFonts w:ascii="Arial" w:hAnsi="Arial"/>
                <w:color w:val="000000"/>
                <w:sz w:val="22"/>
                <w:szCs w:val="22"/>
                <w:lang w:val="en-US"/>
              </w:rPr>
            </w:pPr>
          </w:p>
        </w:tc>
      </w:tr>
      <w:tr w:rsidR="007A52A3" w:rsidRPr="00214121" w14:paraId="7FCD2200" w14:textId="77777777" w:rsidTr="00B9592E">
        <w:trPr>
          <w:trHeight w:val="300"/>
        </w:trPr>
        <w:tc>
          <w:tcPr>
            <w:tcW w:w="0" w:type="auto"/>
            <w:tcBorders>
              <w:top w:val="nil"/>
              <w:left w:val="nil"/>
              <w:bottom w:val="nil"/>
              <w:right w:val="nil"/>
            </w:tcBorders>
            <w:shd w:val="clear" w:color="auto" w:fill="auto"/>
            <w:noWrap/>
            <w:vAlign w:val="bottom"/>
            <w:hideMark/>
          </w:tcPr>
          <w:p w14:paraId="565F30F5"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Prepayments </w:t>
            </w:r>
          </w:p>
        </w:tc>
        <w:tc>
          <w:tcPr>
            <w:tcW w:w="0" w:type="auto"/>
            <w:tcBorders>
              <w:top w:val="nil"/>
              <w:left w:val="nil"/>
              <w:bottom w:val="nil"/>
              <w:right w:val="nil"/>
            </w:tcBorders>
            <w:shd w:val="clear" w:color="auto" w:fill="auto"/>
            <w:noWrap/>
            <w:vAlign w:val="bottom"/>
            <w:hideMark/>
          </w:tcPr>
          <w:p w14:paraId="1CE5FE5F"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3E5C5469"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771F0813"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7C85A920"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2EB623F1"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15,649 </w:t>
            </w:r>
          </w:p>
        </w:tc>
        <w:tc>
          <w:tcPr>
            <w:tcW w:w="0" w:type="auto"/>
            <w:tcBorders>
              <w:top w:val="nil"/>
              <w:left w:val="nil"/>
              <w:bottom w:val="nil"/>
              <w:right w:val="nil"/>
            </w:tcBorders>
            <w:shd w:val="clear" w:color="auto" w:fill="auto"/>
            <w:noWrap/>
            <w:vAlign w:val="bottom"/>
            <w:hideMark/>
          </w:tcPr>
          <w:p w14:paraId="1C8D9D02" w14:textId="77777777" w:rsidR="007A52A3" w:rsidRPr="00214121" w:rsidRDefault="007A52A3" w:rsidP="00214121">
            <w:pPr>
              <w:jc w:val="right"/>
              <w:rPr>
                <w:rFonts w:ascii="Arial" w:hAnsi="Arial"/>
                <w:color w:val="000000"/>
                <w:sz w:val="22"/>
                <w:szCs w:val="22"/>
                <w:lang w:val="en-US"/>
              </w:rPr>
            </w:pPr>
          </w:p>
        </w:tc>
      </w:tr>
      <w:tr w:rsidR="007A52A3" w:rsidRPr="00214121" w14:paraId="2418C906" w14:textId="77777777" w:rsidTr="00B9592E">
        <w:trPr>
          <w:trHeight w:val="300"/>
        </w:trPr>
        <w:tc>
          <w:tcPr>
            <w:tcW w:w="0" w:type="auto"/>
            <w:gridSpan w:val="3"/>
            <w:tcBorders>
              <w:top w:val="nil"/>
              <w:left w:val="nil"/>
              <w:bottom w:val="nil"/>
              <w:right w:val="nil"/>
            </w:tcBorders>
            <w:shd w:val="clear" w:color="auto" w:fill="auto"/>
            <w:noWrap/>
            <w:vAlign w:val="bottom"/>
            <w:hideMark/>
          </w:tcPr>
          <w:p w14:paraId="7B9E56C1"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Interest-free loan to subsidiary company </w:t>
            </w:r>
          </w:p>
        </w:tc>
        <w:tc>
          <w:tcPr>
            <w:tcW w:w="0" w:type="auto"/>
            <w:tcBorders>
              <w:top w:val="nil"/>
              <w:left w:val="nil"/>
              <w:bottom w:val="nil"/>
              <w:right w:val="nil"/>
            </w:tcBorders>
            <w:shd w:val="clear" w:color="auto" w:fill="auto"/>
            <w:noWrap/>
            <w:vAlign w:val="bottom"/>
            <w:hideMark/>
          </w:tcPr>
          <w:p w14:paraId="04731497"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4DE99CAD"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162C7F0D"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15,000 </w:t>
            </w:r>
          </w:p>
        </w:tc>
        <w:tc>
          <w:tcPr>
            <w:tcW w:w="0" w:type="auto"/>
            <w:tcBorders>
              <w:top w:val="nil"/>
              <w:left w:val="nil"/>
              <w:bottom w:val="nil"/>
              <w:right w:val="nil"/>
            </w:tcBorders>
            <w:shd w:val="clear" w:color="auto" w:fill="auto"/>
            <w:noWrap/>
            <w:vAlign w:val="bottom"/>
            <w:hideMark/>
          </w:tcPr>
          <w:p w14:paraId="4412E645" w14:textId="77777777" w:rsidR="007A52A3" w:rsidRPr="00214121" w:rsidRDefault="007A52A3" w:rsidP="00214121">
            <w:pPr>
              <w:jc w:val="right"/>
              <w:rPr>
                <w:rFonts w:ascii="Arial" w:hAnsi="Arial"/>
                <w:color w:val="000000"/>
                <w:sz w:val="22"/>
                <w:szCs w:val="22"/>
                <w:lang w:val="en-US"/>
              </w:rPr>
            </w:pPr>
          </w:p>
        </w:tc>
      </w:tr>
      <w:tr w:rsidR="007A52A3" w:rsidRPr="00214121" w14:paraId="24259F0F"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65E4AA7E"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Cash at bank and in hand </w:t>
            </w:r>
          </w:p>
        </w:tc>
        <w:tc>
          <w:tcPr>
            <w:tcW w:w="0" w:type="auto"/>
            <w:tcBorders>
              <w:top w:val="nil"/>
              <w:left w:val="nil"/>
              <w:bottom w:val="nil"/>
              <w:right w:val="nil"/>
            </w:tcBorders>
            <w:shd w:val="clear" w:color="auto" w:fill="auto"/>
            <w:noWrap/>
            <w:vAlign w:val="bottom"/>
            <w:hideMark/>
          </w:tcPr>
          <w:p w14:paraId="106D9046"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56448181"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1D2914EC"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4C145A28"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1,861,332 </w:t>
            </w:r>
          </w:p>
        </w:tc>
        <w:tc>
          <w:tcPr>
            <w:tcW w:w="0" w:type="auto"/>
            <w:tcBorders>
              <w:top w:val="nil"/>
              <w:left w:val="nil"/>
              <w:bottom w:val="nil"/>
              <w:right w:val="nil"/>
            </w:tcBorders>
            <w:shd w:val="clear" w:color="auto" w:fill="auto"/>
            <w:noWrap/>
            <w:vAlign w:val="bottom"/>
            <w:hideMark/>
          </w:tcPr>
          <w:p w14:paraId="43D381C1" w14:textId="77777777" w:rsidR="007A52A3" w:rsidRPr="00214121" w:rsidRDefault="007A52A3" w:rsidP="00214121">
            <w:pPr>
              <w:jc w:val="right"/>
              <w:rPr>
                <w:rFonts w:ascii="Arial" w:hAnsi="Arial"/>
                <w:color w:val="000000"/>
                <w:sz w:val="22"/>
                <w:szCs w:val="22"/>
                <w:lang w:val="en-US"/>
              </w:rPr>
            </w:pPr>
          </w:p>
        </w:tc>
      </w:tr>
      <w:tr w:rsidR="007A52A3" w:rsidRPr="00214121" w14:paraId="2B2C5243" w14:textId="77777777" w:rsidTr="00B9592E">
        <w:trPr>
          <w:trHeight w:val="300"/>
        </w:trPr>
        <w:tc>
          <w:tcPr>
            <w:tcW w:w="0" w:type="auto"/>
            <w:tcBorders>
              <w:top w:val="nil"/>
              <w:left w:val="nil"/>
              <w:bottom w:val="nil"/>
              <w:right w:val="nil"/>
            </w:tcBorders>
            <w:shd w:val="clear" w:color="auto" w:fill="auto"/>
            <w:noWrap/>
            <w:vAlign w:val="bottom"/>
            <w:hideMark/>
          </w:tcPr>
          <w:p w14:paraId="5253C309"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Trade creditors </w:t>
            </w:r>
          </w:p>
        </w:tc>
        <w:tc>
          <w:tcPr>
            <w:tcW w:w="0" w:type="auto"/>
            <w:tcBorders>
              <w:top w:val="nil"/>
              <w:left w:val="nil"/>
              <w:bottom w:val="nil"/>
              <w:right w:val="nil"/>
            </w:tcBorders>
            <w:shd w:val="clear" w:color="auto" w:fill="auto"/>
            <w:noWrap/>
            <w:vAlign w:val="bottom"/>
            <w:hideMark/>
          </w:tcPr>
          <w:p w14:paraId="726E2022"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05D3BFD3"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2772C4B7"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78F169C2"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60732A0A" w14:textId="77777777" w:rsidR="007A52A3" w:rsidRPr="00214121" w:rsidRDefault="007A52A3" w:rsidP="00214121">
            <w:pPr>
              <w:jc w:val="cente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3D20B77F"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71,552 </w:t>
            </w:r>
          </w:p>
        </w:tc>
      </w:tr>
      <w:tr w:rsidR="007A52A3" w:rsidRPr="00214121" w14:paraId="33FDE693" w14:textId="77777777" w:rsidTr="00B9592E">
        <w:trPr>
          <w:trHeight w:val="300"/>
        </w:trPr>
        <w:tc>
          <w:tcPr>
            <w:tcW w:w="0" w:type="auto"/>
            <w:gridSpan w:val="3"/>
            <w:tcBorders>
              <w:top w:val="nil"/>
              <w:left w:val="nil"/>
              <w:bottom w:val="nil"/>
              <w:right w:val="nil"/>
            </w:tcBorders>
            <w:shd w:val="clear" w:color="auto" w:fill="auto"/>
            <w:noWrap/>
            <w:vAlign w:val="bottom"/>
            <w:hideMark/>
          </w:tcPr>
          <w:p w14:paraId="5E5CA6FC"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Director's current account due within one year </w:t>
            </w:r>
          </w:p>
        </w:tc>
        <w:tc>
          <w:tcPr>
            <w:tcW w:w="0" w:type="auto"/>
            <w:tcBorders>
              <w:top w:val="nil"/>
              <w:left w:val="nil"/>
              <w:bottom w:val="nil"/>
              <w:right w:val="nil"/>
            </w:tcBorders>
            <w:shd w:val="clear" w:color="auto" w:fill="auto"/>
            <w:noWrap/>
            <w:vAlign w:val="bottom"/>
            <w:hideMark/>
          </w:tcPr>
          <w:p w14:paraId="237EF8CD"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591B8F7C"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115C7F09" w14:textId="77777777" w:rsidR="007A52A3" w:rsidRPr="00214121" w:rsidRDefault="007A52A3" w:rsidP="00214121">
            <w:pPr>
              <w:jc w:val="cente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248240D5"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65,000 </w:t>
            </w:r>
          </w:p>
        </w:tc>
      </w:tr>
      <w:tr w:rsidR="007A52A3" w:rsidRPr="00214121" w14:paraId="1A7C5044" w14:textId="77777777" w:rsidTr="00B9592E">
        <w:trPr>
          <w:trHeight w:val="300"/>
        </w:trPr>
        <w:tc>
          <w:tcPr>
            <w:tcW w:w="0" w:type="auto"/>
            <w:tcBorders>
              <w:top w:val="nil"/>
              <w:left w:val="nil"/>
              <w:bottom w:val="nil"/>
              <w:right w:val="nil"/>
            </w:tcBorders>
            <w:shd w:val="clear" w:color="auto" w:fill="auto"/>
            <w:noWrap/>
            <w:vAlign w:val="bottom"/>
            <w:hideMark/>
          </w:tcPr>
          <w:p w14:paraId="2E835BE9"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Corporation tax </w:t>
            </w:r>
          </w:p>
        </w:tc>
        <w:tc>
          <w:tcPr>
            <w:tcW w:w="0" w:type="auto"/>
            <w:tcBorders>
              <w:top w:val="nil"/>
              <w:left w:val="nil"/>
              <w:bottom w:val="nil"/>
              <w:right w:val="nil"/>
            </w:tcBorders>
            <w:shd w:val="clear" w:color="auto" w:fill="auto"/>
            <w:noWrap/>
            <w:vAlign w:val="bottom"/>
            <w:hideMark/>
          </w:tcPr>
          <w:p w14:paraId="0069D091"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7672F2C2"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32D80380"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240B1381"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57F7F2B6" w14:textId="77777777" w:rsidR="007A52A3" w:rsidRPr="00214121" w:rsidRDefault="007A52A3" w:rsidP="00214121">
            <w:pPr>
              <w:jc w:val="cente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5E270875"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164,664 </w:t>
            </w:r>
          </w:p>
        </w:tc>
      </w:tr>
      <w:tr w:rsidR="007A52A3" w:rsidRPr="00214121" w14:paraId="7A32AFDE" w14:textId="77777777" w:rsidTr="00B9592E">
        <w:trPr>
          <w:trHeight w:val="300"/>
        </w:trPr>
        <w:tc>
          <w:tcPr>
            <w:tcW w:w="0" w:type="auto"/>
            <w:tcBorders>
              <w:top w:val="nil"/>
              <w:left w:val="nil"/>
              <w:bottom w:val="nil"/>
              <w:right w:val="nil"/>
            </w:tcBorders>
            <w:shd w:val="clear" w:color="auto" w:fill="auto"/>
            <w:noWrap/>
            <w:vAlign w:val="bottom"/>
            <w:hideMark/>
          </w:tcPr>
          <w:p w14:paraId="2E1FF96D"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Sundry creditors </w:t>
            </w:r>
          </w:p>
        </w:tc>
        <w:tc>
          <w:tcPr>
            <w:tcW w:w="0" w:type="auto"/>
            <w:tcBorders>
              <w:top w:val="nil"/>
              <w:left w:val="nil"/>
              <w:bottom w:val="nil"/>
              <w:right w:val="nil"/>
            </w:tcBorders>
            <w:shd w:val="clear" w:color="auto" w:fill="auto"/>
            <w:noWrap/>
            <w:vAlign w:val="bottom"/>
            <w:hideMark/>
          </w:tcPr>
          <w:p w14:paraId="1BB09155"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5FC42F56"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0458DEB2"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60640E15"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797D170A" w14:textId="77777777" w:rsidR="007A52A3" w:rsidRPr="00214121" w:rsidRDefault="007A52A3" w:rsidP="00214121">
            <w:pPr>
              <w:jc w:val="cente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4EE9CB8D"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8,546 </w:t>
            </w:r>
          </w:p>
        </w:tc>
      </w:tr>
      <w:tr w:rsidR="007A52A3" w:rsidRPr="00214121" w14:paraId="4FFD08FD"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0591DB14"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Accrued expenses </w:t>
            </w:r>
          </w:p>
        </w:tc>
        <w:tc>
          <w:tcPr>
            <w:tcW w:w="0" w:type="auto"/>
            <w:tcBorders>
              <w:top w:val="nil"/>
              <w:left w:val="nil"/>
              <w:bottom w:val="nil"/>
              <w:right w:val="nil"/>
            </w:tcBorders>
            <w:shd w:val="clear" w:color="auto" w:fill="auto"/>
            <w:noWrap/>
            <w:vAlign w:val="bottom"/>
            <w:hideMark/>
          </w:tcPr>
          <w:p w14:paraId="478E3275"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35328214"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6DB50F5B"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561B0AF2" w14:textId="77777777" w:rsidR="007A52A3" w:rsidRPr="00214121" w:rsidRDefault="007A52A3" w:rsidP="00214121">
            <w:pPr>
              <w:jc w:val="cente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667FCD8A"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24,700 </w:t>
            </w:r>
          </w:p>
        </w:tc>
      </w:tr>
      <w:tr w:rsidR="007A52A3" w:rsidRPr="00214121" w14:paraId="4FA5EF48" w14:textId="77777777" w:rsidTr="00B9592E">
        <w:trPr>
          <w:trHeight w:val="300"/>
        </w:trPr>
        <w:tc>
          <w:tcPr>
            <w:tcW w:w="0" w:type="auto"/>
            <w:tcBorders>
              <w:top w:val="nil"/>
              <w:left w:val="nil"/>
              <w:bottom w:val="nil"/>
              <w:right w:val="nil"/>
            </w:tcBorders>
            <w:shd w:val="clear" w:color="auto" w:fill="auto"/>
            <w:noWrap/>
            <w:vAlign w:val="bottom"/>
            <w:hideMark/>
          </w:tcPr>
          <w:p w14:paraId="394EB44B"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Deferred tax </w:t>
            </w:r>
          </w:p>
        </w:tc>
        <w:tc>
          <w:tcPr>
            <w:tcW w:w="0" w:type="auto"/>
            <w:tcBorders>
              <w:top w:val="nil"/>
              <w:left w:val="nil"/>
              <w:bottom w:val="nil"/>
              <w:right w:val="nil"/>
            </w:tcBorders>
            <w:shd w:val="clear" w:color="auto" w:fill="auto"/>
            <w:noWrap/>
            <w:vAlign w:val="bottom"/>
            <w:hideMark/>
          </w:tcPr>
          <w:p w14:paraId="1B6767AE"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69014E28"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72204D76"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5C48AE83"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6B5BC129" w14:textId="77777777" w:rsidR="007A52A3" w:rsidRPr="00214121" w:rsidRDefault="007A52A3" w:rsidP="00214121">
            <w:pPr>
              <w:jc w:val="cente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3A0E3F7A"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29,540 </w:t>
            </w:r>
          </w:p>
        </w:tc>
      </w:tr>
      <w:tr w:rsidR="007A52A3" w:rsidRPr="00214121" w14:paraId="3ED0E491" w14:textId="77777777" w:rsidTr="00B9592E">
        <w:trPr>
          <w:trHeight w:val="300"/>
        </w:trPr>
        <w:tc>
          <w:tcPr>
            <w:tcW w:w="0" w:type="auto"/>
            <w:tcBorders>
              <w:top w:val="nil"/>
              <w:left w:val="nil"/>
              <w:bottom w:val="nil"/>
              <w:right w:val="nil"/>
            </w:tcBorders>
            <w:shd w:val="clear" w:color="auto" w:fill="auto"/>
            <w:noWrap/>
            <w:vAlign w:val="bottom"/>
            <w:hideMark/>
          </w:tcPr>
          <w:p w14:paraId="2BD96D55"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Share capital </w:t>
            </w:r>
          </w:p>
        </w:tc>
        <w:tc>
          <w:tcPr>
            <w:tcW w:w="0" w:type="auto"/>
            <w:tcBorders>
              <w:top w:val="nil"/>
              <w:left w:val="nil"/>
              <w:bottom w:val="nil"/>
              <w:right w:val="nil"/>
            </w:tcBorders>
            <w:shd w:val="clear" w:color="auto" w:fill="auto"/>
            <w:noWrap/>
            <w:vAlign w:val="bottom"/>
            <w:hideMark/>
          </w:tcPr>
          <w:p w14:paraId="4F4416FE"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0232E232"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751C5C6C"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5C128748"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4DDCC33A" w14:textId="77777777" w:rsidR="007A52A3" w:rsidRPr="00214121" w:rsidRDefault="007A52A3" w:rsidP="00214121">
            <w:pPr>
              <w:jc w:val="cente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293A5B64"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100 </w:t>
            </w:r>
          </w:p>
        </w:tc>
      </w:tr>
      <w:tr w:rsidR="007A52A3" w:rsidRPr="00214121" w14:paraId="1E6EC5EC"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6EDD7553"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Profit and loss account reserves </w:t>
            </w:r>
          </w:p>
        </w:tc>
        <w:tc>
          <w:tcPr>
            <w:tcW w:w="0" w:type="auto"/>
            <w:tcBorders>
              <w:top w:val="nil"/>
              <w:left w:val="nil"/>
              <w:bottom w:val="nil"/>
              <w:right w:val="nil"/>
            </w:tcBorders>
            <w:shd w:val="clear" w:color="auto" w:fill="auto"/>
            <w:noWrap/>
            <w:vAlign w:val="bottom"/>
            <w:hideMark/>
          </w:tcPr>
          <w:p w14:paraId="40EAEB83"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0F59CBE5"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02EFD8BA"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465A0474" w14:textId="77777777" w:rsidR="007A52A3" w:rsidRPr="00214121" w:rsidRDefault="007A52A3" w:rsidP="00214121">
            <w:pPr>
              <w:jc w:val="cente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0669A86B"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1,754,309 </w:t>
            </w:r>
          </w:p>
        </w:tc>
      </w:tr>
      <w:tr w:rsidR="007A52A3" w:rsidRPr="00214121" w14:paraId="10EF3228" w14:textId="77777777" w:rsidTr="00B9592E">
        <w:trPr>
          <w:trHeight w:val="300"/>
        </w:trPr>
        <w:tc>
          <w:tcPr>
            <w:tcW w:w="0" w:type="auto"/>
            <w:tcBorders>
              <w:top w:val="nil"/>
              <w:left w:val="nil"/>
              <w:bottom w:val="nil"/>
              <w:right w:val="nil"/>
            </w:tcBorders>
            <w:shd w:val="clear" w:color="auto" w:fill="auto"/>
            <w:noWrap/>
            <w:vAlign w:val="bottom"/>
            <w:hideMark/>
          </w:tcPr>
          <w:p w14:paraId="1AABB94A"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Sales </w:t>
            </w:r>
          </w:p>
        </w:tc>
        <w:tc>
          <w:tcPr>
            <w:tcW w:w="0" w:type="auto"/>
            <w:tcBorders>
              <w:top w:val="nil"/>
              <w:left w:val="nil"/>
              <w:bottom w:val="nil"/>
              <w:right w:val="nil"/>
            </w:tcBorders>
            <w:shd w:val="clear" w:color="auto" w:fill="auto"/>
            <w:noWrap/>
            <w:vAlign w:val="bottom"/>
            <w:hideMark/>
          </w:tcPr>
          <w:p w14:paraId="48F01B75"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3E5A2D99"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2494151C"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5FFA946F"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2B1D482F" w14:textId="77777777" w:rsidR="007A52A3" w:rsidRPr="00214121" w:rsidRDefault="007A52A3" w:rsidP="00214121">
            <w:pPr>
              <w:jc w:val="cente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1D66EF18"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4,126,211 </w:t>
            </w:r>
          </w:p>
        </w:tc>
      </w:tr>
      <w:tr w:rsidR="007A52A3" w:rsidRPr="00214121" w14:paraId="50F0ADB8" w14:textId="77777777" w:rsidTr="00B9592E">
        <w:trPr>
          <w:trHeight w:val="300"/>
        </w:trPr>
        <w:tc>
          <w:tcPr>
            <w:tcW w:w="0" w:type="auto"/>
            <w:tcBorders>
              <w:top w:val="nil"/>
              <w:left w:val="nil"/>
              <w:bottom w:val="nil"/>
              <w:right w:val="nil"/>
            </w:tcBorders>
            <w:shd w:val="clear" w:color="auto" w:fill="auto"/>
            <w:noWrap/>
            <w:vAlign w:val="bottom"/>
            <w:hideMark/>
          </w:tcPr>
          <w:p w14:paraId="4363D21E"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Opening stock </w:t>
            </w:r>
          </w:p>
        </w:tc>
        <w:tc>
          <w:tcPr>
            <w:tcW w:w="0" w:type="auto"/>
            <w:tcBorders>
              <w:top w:val="nil"/>
              <w:left w:val="nil"/>
              <w:bottom w:val="nil"/>
              <w:right w:val="nil"/>
            </w:tcBorders>
            <w:shd w:val="clear" w:color="auto" w:fill="auto"/>
            <w:noWrap/>
            <w:vAlign w:val="bottom"/>
            <w:hideMark/>
          </w:tcPr>
          <w:p w14:paraId="67809B78"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4BD92AE0"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654EBCDF"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18B0ADA0"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4D019B35"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11,383 </w:t>
            </w:r>
          </w:p>
        </w:tc>
        <w:tc>
          <w:tcPr>
            <w:tcW w:w="0" w:type="auto"/>
            <w:tcBorders>
              <w:top w:val="nil"/>
              <w:left w:val="nil"/>
              <w:bottom w:val="nil"/>
              <w:right w:val="nil"/>
            </w:tcBorders>
            <w:shd w:val="clear" w:color="auto" w:fill="auto"/>
            <w:noWrap/>
            <w:vAlign w:val="bottom"/>
            <w:hideMark/>
          </w:tcPr>
          <w:p w14:paraId="51AC100D" w14:textId="77777777" w:rsidR="007A52A3" w:rsidRPr="00214121" w:rsidRDefault="007A52A3" w:rsidP="00214121">
            <w:pPr>
              <w:jc w:val="right"/>
              <w:rPr>
                <w:rFonts w:ascii="Arial" w:hAnsi="Arial"/>
                <w:color w:val="000000"/>
                <w:sz w:val="22"/>
                <w:szCs w:val="22"/>
                <w:lang w:val="en-US"/>
              </w:rPr>
            </w:pPr>
          </w:p>
        </w:tc>
      </w:tr>
      <w:tr w:rsidR="007A52A3" w:rsidRPr="00214121" w14:paraId="02A04AB2" w14:textId="77777777" w:rsidTr="00B9592E">
        <w:trPr>
          <w:trHeight w:val="300"/>
        </w:trPr>
        <w:tc>
          <w:tcPr>
            <w:tcW w:w="0" w:type="auto"/>
            <w:tcBorders>
              <w:top w:val="nil"/>
              <w:left w:val="nil"/>
              <w:bottom w:val="nil"/>
              <w:right w:val="nil"/>
            </w:tcBorders>
            <w:shd w:val="clear" w:color="auto" w:fill="auto"/>
            <w:noWrap/>
            <w:vAlign w:val="bottom"/>
            <w:hideMark/>
          </w:tcPr>
          <w:p w14:paraId="3C45545F"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Purchases</w:t>
            </w:r>
          </w:p>
        </w:tc>
        <w:tc>
          <w:tcPr>
            <w:tcW w:w="0" w:type="auto"/>
            <w:tcBorders>
              <w:top w:val="nil"/>
              <w:left w:val="nil"/>
              <w:bottom w:val="nil"/>
              <w:right w:val="nil"/>
            </w:tcBorders>
            <w:shd w:val="clear" w:color="auto" w:fill="auto"/>
            <w:noWrap/>
            <w:vAlign w:val="bottom"/>
            <w:hideMark/>
          </w:tcPr>
          <w:p w14:paraId="4AC282E6"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232488D9"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4BA2B7C3"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3C707FE5"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42E735AE"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2,574,327 </w:t>
            </w:r>
          </w:p>
        </w:tc>
        <w:tc>
          <w:tcPr>
            <w:tcW w:w="0" w:type="auto"/>
            <w:tcBorders>
              <w:top w:val="nil"/>
              <w:left w:val="nil"/>
              <w:bottom w:val="nil"/>
              <w:right w:val="nil"/>
            </w:tcBorders>
            <w:shd w:val="clear" w:color="auto" w:fill="auto"/>
            <w:noWrap/>
            <w:vAlign w:val="bottom"/>
            <w:hideMark/>
          </w:tcPr>
          <w:p w14:paraId="3B03249C" w14:textId="77777777" w:rsidR="007A52A3" w:rsidRPr="00214121" w:rsidRDefault="007A52A3" w:rsidP="00214121">
            <w:pPr>
              <w:jc w:val="right"/>
              <w:rPr>
                <w:rFonts w:ascii="Arial" w:hAnsi="Arial"/>
                <w:color w:val="000000"/>
                <w:sz w:val="22"/>
                <w:szCs w:val="22"/>
                <w:lang w:val="en-US"/>
              </w:rPr>
            </w:pPr>
          </w:p>
        </w:tc>
      </w:tr>
      <w:tr w:rsidR="007A52A3" w:rsidRPr="00214121" w14:paraId="77C90144" w14:textId="77777777" w:rsidTr="00B9592E">
        <w:trPr>
          <w:trHeight w:val="300"/>
        </w:trPr>
        <w:tc>
          <w:tcPr>
            <w:tcW w:w="0" w:type="auto"/>
            <w:tcBorders>
              <w:top w:val="nil"/>
              <w:left w:val="nil"/>
              <w:bottom w:val="nil"/>
              <w:right w:val="nil"/>
            </w:tcBorders>
            <w:shd w:val="clear" w:color="auto" w:fill="auto"/>
            <w:noWrap/>
            <w:vAlign w:val="bottom"/>
            <w:hideMark/>
          </w:tcPr>
          <w:p w14:paraId="5A5E2FDB"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Closing stock </w:t>
            </w:r>
          </w:p>
        </w:tc>
        <w:tc>
          <w:tcPr>
            <w:tcW w:w="0" w:type="auto"/>
            <w:tcBorders>
              <w:top w:val="nil"/>
              <w:left w:val="nil"/>
              <w:bottom w:val="nil"/>
              <w:right w:val="nil"/>
            </w:tcBorders>
            <w:shd w:val="clear" w:color="auto" w:fill="auto"/>
            <w:noWrap/>
            <w:vAlign w:val="bottom"/>
            <w:hideMark/>
          </w:tcPr>
          <w:p w14:paraId="6A5ED04E"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526A38D2"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5012AD20"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7788807C"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4AB60969" w14:textId="77777777" w:rsidR="007A52A3" w:rsidRPr="00214121" w:rsidRDefault="007A52A3" w:rsidP="00214121">
            <w:pPr>
              <w:jc w:val="cente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4493DE6E"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13,002 </w:t>
            </w:r>
          </w:p>
        </w:tc>
      </w:tr>
      <w:tr w:rsidR="007A52A3" w:rsidRPr="00214121" w14:paraId="6B23A2BA" w14:textId="77777777" w:rsidTr="00B9592E">
        <w:trPr>
          <w:trHeight w:val="300"/>
        </w:trPr>
        <w:tc>
          <w:tcPr>
            <w:tcW w:w="0" w:type="auto"/>
            <w:tcBorders>
              <w:top w:val="nil"/>
              <w:left w:val="nil"/>
              <w:bottom w:val="nil"/>
              <w:right w:val="nil"/>
            </w:tcBorders>
            <w:shd w:val="clear" w:color="auto" w:fill="auto"/>
            <w:noWrap/>
            <w:vAlign w:val="bottom"/>
            <w:hideMark/>
          </w:tcPr>
          <w:p w14:paraId="75428FB3"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Freight </w:t>
            </w:r>
          </w:p>
        </w:tc>
        <w:tc>
          <w:tcPr>
            <w:tcW w:w="0" w:type="auto"/>
            <w:tcBorders>
              <w:top w:val="nil"/>
              <w:left w:val="nil"/>
              <w:bottom w:val="nil"/>
              <w:right w:val="nil"/>
            </w:tcBorders>
            <w:shd w:val="clear" w:color="auto" w:fill="auto"/>
            <w:noWrap/>
            <w:vAlign w:val="bottom"/>
            <w:hideMark/>
          </w:tcPr>
          <w:p w14:paraId="158FCBED"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488F0D5A"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33000FC3"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24696C0E"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7B63221C"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351,104 </w:t>
            </w:r>
          </w:p>
        </w:tc>
        <w:tc>
          <w:tcPr>
            <w:tcW w:w="0" w:type="auto"/>
            <w:tcBorders>
              <w:top w:val="nil"/>
              <w:left w:val="nil"/>
              <w:bottom w:val="nil"/>
              <w:right w:val="nil"/>
            </w:tcBorders>
            <w:shd w:val="clear" w:color="auto" w:fill="auto"/>
            <w:noWrap/>
            <w:vAlign w:val="bottom"/>
            <w:hideMark/>
          </w:tcPr>
          <w:p w14:paraId="252081E3" w14:textId="77777777" w:rsidR="007A52A3" w:rsidRPr="00214121" w:rsidRDefault="007A52A3" w:rsidP="00214121">
            <w:pPr>
              <w:jc w:val="right"/>
              <w:rPr>
                <w:rFonts w:ascii="Arial" w:hAnsi="Arial"/>
                <w:color w:val="000000"/>
                <w:sz w:val="22"/>
                <w:szCs w:val="22"/>
                <w:lang w:val="en-US"/>
              </w:rPr>
            </w:pPr>
          </w:p>
        </w:tc>
      </w:tr>
      <w:tr w:rsidR="007A52A3" w:rsidRPr="00214121" w14:paraId="346293D7"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51269B6D" w14:textId="7233B6AB"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Director</w:t>
            </w:r>
            <w:r w:rsidR="00130CB2">
              <w:rPr>
                <w:rFonts w:ascii="Arial" w:hAnsi="Arial"/>
                <w:color w:val="000000"/>
                <w:sz w:val="22"/>
                <w:szCs w:val="22"/>
                <w:lang w:val="en-US"/>
              </w:rPr>
              <w:t>’</w:t>
            </w:r>
            <w:r w:rsidRPr="00214121">
              <w:rPr>
                <w:rFonts w:ascii="Arial" w:hAnsi="Arial"/>
                <w:color w:val="000000"/>
                <w:sz w:val="22"/>
                <w:szCs w:val="22"/>
                <w:lang w:val="en-US"/>
              </w:rPr>
              <w:t xml:space="preserve">s remuneration </w:t>
            </w:r>
          </w:p>
        </w:tc>
        <w:tc>
          <w:tcPr>
            <w:tcW w:w="0" w:type="auto"/>
            <w:tcBorders>
              <w:top w:val="nil"/>
              <w:left w:val="nil"/>
              <w:bottom w:val="nil"/>
              <w:right w:val="nil"/>
            </w:tcBorders>
            <w:shd w:val="clear" w:color="auto" w:fill="auto"/>
            <w:noWrap/>
            <w:vAlign w:val="bottom"/>
            <w:hideMark/>
          </w:tcPr>
          <w:p w14:paraId="51258721"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27BDD15C"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38157E21"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2B948B4F"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18,012 </w:t>
            </w:r>
          </w:p>
        </w:tc>
        <w:tc>
          <w:tcPr>
            <w:tcW w:w="0" w:type="auto"/>
            <w:tcBorders>
              <w:top w:val="nil"/>
              <w:left w:val="nil"/>
              <w:bottom w:val="nil"/>
              <w:right w:val="nil"/>
            </w:tcBorders>
            <w:shd w:val="clear" w:color="auto" w:fill="auto"/>
            <w:noWrap/>
            <w:vAlign w:val="bottom"/>
            <w:hideMark/>
          </w:tcPr>
          <w:p w14:paraId="7CB12EEF" w14:textId="77777777" w:rsidR="007A52A3" w:rsidRPr="00214121" w:rsidRDefault="007A52A3" w:rsidP="00214121">
            <w:pPr>
              <w:jc w:val="right"/>
              <w:rPr>
                <w:rFonts w:ascii="Arial" w:hAnsi="Arial"/>
                <w:color w:val="000000"/>
                <w:sz w:val="22"/>
                <w:szCs w:val="22"/>
                <w:lang w:val="en-US"/>
              </w:rPr>
            </w:pPr>
          </w:p>
        </w:tc>
      </w:tr>
      <w:tr w:rsidR="007A52A3" w:rsidRPr="00214121" w14:paraId="5973C827" w14:textId="77777777" w:rsidTr="00B9592E">
        <w:trPr>
          <w:trHeight w:val="300"/>
        </w:trPr>
        <w:tc>
          <w:tcPr>
            <w:tcW w:w="0" w:type="auto"/>
            <w:gridSpan w:val="3"/>
            <w:tcBorders>
              <w:top w:val="nil"/>
              <w:left w:val="nil"/>
              <w:bottom w:val="nil"/>
              <w:right w:val="nil"/>
            </w:tcBorders>
            <w:shd w:val="clear" w:color="auto" w:fill="auto"/>
            <w:noWrap/>
            <w:vAlign w:val="bottom"/>
            <w:hideMark/>
          </w:tcPr>
          <w:p w14:paraId="44CE7340" w14:textId="212F6743"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Employer NIC on director</w:t>
            </w:r>
            <w:r w:rsidR="00130CB2">
              <w:rPr>
                <w:rFonts w:ascii="Arial" w:hAnsi="Arial"/>
                <w:color w:val="000000"/>
                <w:sz w:val="22"/>
                <w:szCs w:val="22"/>
                <w:lang w:val="en-US"/>
              </w:rPr>
              <w:t>’</w:t>
            </w:r>
            <w:r w:rsidRPr="00214121">
              <w:rPr>
                <w:rFonts w:ascii="Arial" w:hAnsi="Arial"/>
                <w:color w:val="000000"/>
                <w:sz w:val="22"/>
                <w:szCs w:val="22"/>
                <w:lang w:val="en-US"/>
              </w:rPr>
              <w:t xml:space="preserve">s remuneration </w:t>
            </w:r>
          </w:p>
        </w:tc>
        <w:tc>
          <w:tcPr>
            <w:tcW w:w="0" w:type="auto"/>
            <w:tcBorders>
              <w:top w:val="nil"/>
              <w:left w:val="nil"/>
              <w:bottom w:val="nil"/>
              <w:right w:val="nil"/>
            </w:tcBorders>
            <w:shd w:val="clear" w:color="auto" w:fill="auto"/>
            <w:noWrap/>
            <w:vAlign w:val="bottom"/>
            <w:hideMark/>
          </w:tcPr>
          <w:p w14:paraId="3F28376A"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04E2BD32"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0980D8EC"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1,449 </w:t>
            </w:r>
          </w:p>
        </w:tc>
        <w:tc>
          <w:tcPr>
            <w:tcW w:w="0" w:type="auto"/>
            <w:tcBorders>
              <w:top w:val="nil"/>
              <w:left w:val="nil"/>
              <w:bottom w:val="nil"/>
              <w:right w:val="nil"/>
            </w:tcBorders>
            <w:shd w:val="clear" w:color="auto" w:fill="auto"/>
            <w:noWrap/>
            <w:vAlign w:val="bottom"/>
            <w:hideMark/>
          </w:tcPr>
          <w:p w14:paraId="2F0E7A3A" w14:textId="77777777" w:rsidR="007A52A3" w:rsidRPr="00214121" w:rsidRDefault="007A52A3" w:rsidP="00214121">
            <w:pPr>
              <w:jc w:val="right"/>
              <w:rPr>
                <w:rFonts w:ascii="Arial" w:hAnsi="Arial"/>
                <w:color w:val="000000"/>
                <w:sz w:val="22"/>
                <w:szCs w:val="22"/>
                <w:lang w:val="en-US"/>
              </w:rPr>
            </w:pPr>
          </w:p>
        </w:tc>
      </w:tr>
      <w:tr w:rsidR="007A52A3" w:rsidRPr="00214121" w14:paraId="19C9A4F7" w14:textId="77777777" w:rsidTr="00B9592E">
        <w:trPr>
          <w:trHeight w:val="300"/>
        </w:trPr>
        <w:tc>
          <w:tcPr>
            <w:tcW w:w="0" w:type="auto"/>
            <w:tcBorders>
              <w:top w:val="nil"/>
              <w:left w:val="nil"/>
              <w:bottom w:val="nil"/>
              <w:right w:val="nil"/>
            </w:tcBorders>
            <w:shd w:val="clear" w:color="auto" w:fill="auto"/>
            <w:noWrap/>
            <w:vAlign w:val="bottom"/>
            <w:hideMark/>
          </w:tcPr>
          <w:p w14:paraId="49D26C24"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Staff salaries </w:t>
            </w:r>
          </w:p>
        </w:tc>
        <w:tc>
          <w:tcPr>
            <w:tcW w:w="0" w:type="auto"/>
            <w:tcBorders>
              <w:top w:val="nil"/>
              <w:left w:val="nil"/>
              <w:bottom w:val="nil"/>
              <w:right w:val="nil"/>
            </w:tcBorders>
            <w:shd w:val="clear" w:color="auto" w:fill="auto"/>
            <w:noWrap/>
            <w:vAlign w:val="bottom"/>
            <w:hideMark/>
          </w:tcPr>
          <w:p w14:paraId="288B711A"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087ECBFD"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03645EB6"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3C922FA1"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4F3A0037"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143,904 </w:t>
            </w:r>
          </w:p>
        </w:tc>
        <w:tc>
          <w:tcPr>
            <w:tcW w:w="0" w:type="auto"/>
            <w:tcBorders>
              <w:top w:val="nil"/>
              <w:left w:val="nil"/>
              <w:bottom w:val="nil"/>
              <w:right w:val="nil"/>
            </w:tcBorders>
            <w:shd w:val="clear" w:color="auto" w:fill="auto"/>
            <w:noWrap/>
            <w:vAlign w:val="bottom"/>
            <w:hideMark/>
          </w:tcPr>
          <w:p w14:paraId="7F2717D1" w14:textId="77777777" w:rsidR="007A52A3" w:rsidRPr="00214121" w:rsidRDefault="007A52A3" w:rsidP="00214121">
            <w:pPr>
              <w:jc w:val="right"/>
              <w:rPr>
                <w:rFonts w:ascii="Arial" w:hAnsi="Arial"/>
                <w:color w:val="000000"/>
                <w:sz w:val="22"/>
                <w:szCs w:val="22"/>
                <w:lang w:val="en-US"/>
              </w:rPr>
            </w:pPr>
          </w:p>
        </w:tc>
      </w:tr>
      <w:tr w:rsidR="007A52A3" w:rsidRPr="00214121" w14:paraId="35FF0023" w14:textId="77777777" w:rsidTr="00B9592E">
        <w:trPr>
          <w:trHeight w:val="300"/>
        </w:trPr>
        <w:tc>
          <w:tcPr>
            <w:tcW w:w="0" w:type="auto"/>
            <w:tcBorders>
              <w:top w:val="nil"/>
              <w:left w:val="nil"/>
              <w:bottom w:val="nil"/>
              <w:right w:val="nil"/>
            </w:tcBorders>
            <w:shd w:val="clear" w:color="auto" w:fill="auto"/>
            <w:noWrap/>
            <w:vAlign w:val="bottom"/>
          </w:tcPr>
          <w:p w14:paraId="67CA4AE8"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Fair value gain on investment property </w:t>
            </w:r>
          </w:p>
        </w:tc>
        <w:tc>
          <w:tcPr>
            <w:tcW w:w="0" w:type="auto"/>
            <w:tcBorders>
              <w:top w:val="nil"/>
              <w:left w:val="nil"/>
              <w:bottom w:val="nil"/>
              <w:right w:val="nil"/>
            </w:tcBorders>
            <w:shd w:val="clear" w:color="auto" w:fill="auto"/>
            <w:noWrap/>
            <w:vAlign w:val="bottom"/>
          </w:tcPr>
          <w:p w14:paraId="56A88271"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tcPr>
          <w:p w14:paraId="19A112ED"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tcPr>
          <w:p w14:paraId="535FDAD3"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tcPr>
          <w:p w14:paraId="1F5AAA7E"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tcPr>
          <w:p w14:paraId="744B7571" w14:textId="77777777" w:rsidR="007A52A3" w:rsidRPr="00214121" w:rsidRDefault="007A52A3" w:rsidP="00214121">
            <w:pPr>
              <w:jc w:val="right"/>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tcPr>
          <w:p w14:paraId="0DE56FCF"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20,000</w:t>
            </w:r>
          </w:p>
        </w:tc>
      </w:tr>
      <w:tr w:rsidR="007A52A3" w:rsidRPr="00214121" w14:paraId="6F90B73A" w14:textId="77777777" w:rsidTr="00B9592E">
        <w:trPr>
          <w:trHeight w:val="300"/>
        </w:trPr>
        <w:tc>
          <w:tcPr>
            <w:tcW w:w="0" w:type="auto"/>
            <w:tcBorders>
              <w:top w:val="nil"/>
              <w:left w:val="nil"/>
              <w:bottom w:val="nil"/>
              <w:right w:val="nil"/>
            </w:tcBorders>
            <w:shd w:val="clear" w:color="auto" w:fill="auto"/>
            <w:noWrap/>
            <w:vAlign w:val="bottom"/>
            <w:hideMark/>
          </w:tcPr>
          <w:p w14:paraId="12B51170"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Advertising </w:t>
            </w:r>
          </w:p>
        </w:tc>
        <w:tc>
          <w:tcPr>
            <w:tcW w:w="0" w:type="auto"/>
            <w:tcBorders>
              <w:top w:val="nil"/>
              <w:left w:val="nil"/>
              <w:bottom w:val="nil"/>
              <w:right w:val="nil"/>
            </w:tcBorders>
            <w:shd w:val="clear" w:color="auto" w:fill="auto"/>
            <w:noWrap/>
            <w:vAlign w:val="bottom"/>
            <w:hideMark/>
          </w:tcPr>
          <w:p w14:paraId="476ABD8B"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64F65EC0"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5A9DE31C"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761E9092"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0D9D245B"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5,692 </w:t>
            </w:r>
          </w:p>
        </w:tc>
        <w:tc>
          <w:tcPr>
            <w:tcW w:w="0" w:type="auto"/>
            <w:tcBorders>
              <w:top w:val="nil"/>
              <w:left w:val="nil"/>
              <w:bottom w:val="nil"/>
              <w:right w:val="nil"/>
            </w:tcBorders>
            <w:shd w:val="clear" w:color="auto" w:fill="auto"/>
            <w:noWrap/>
            <w:vAlign w:val="bottom"/>
            <w:hideMark/>
          </w:tcPr>
          <w:p w14:paraId="60887F83" w14:textId="77777777" w:rsidR="007A52A3" w:rsidRPr="00214121" w:rsidRDefault="007A52A3" w:rsidP="00214121">
            <w:pPr>
              <w:jc w:val="right"/>
              <w:rPr>
                <w:rFonts w:ascii="Arial" w:hAnsi="Arial"/>
                <w:color w:val="000000"/>
                <w:sz w:val="22"/>
                <w:szCs w:val="22"/>
                <w:lang w:val="en-US"/>
              </w:rPr>
            </w:pPr>
          </w:p>
        </w:tc>
      </w:tr>
      <w:tr w:rsidR="007A52A3" w:rsidRPr="00214121" w14:paraId="33EA81D9" w14:textId="77777777" w:rsidTr="00B9592E">
        <w:trPr>
          <w:trHeight w:val="300"/>
        </w:trPr>
        <w:tc>
          <w:tcPr>
            <w:tcW w:w="0" w:type="auto"/>
            <w:tcBorders>
              <w:top w:val="nil"/>
              <w:left w:val="nil"/>
              <w:bottom w:val="nil"/>
              <w:right w:val="nil"/>
            </w:tcBorders>
            <w:shd w:val="clear" w:color="auto" w:fill="auto"/>
            <w:noWrap/>
            <w:vAlign w:val="bottom"/>
            <w:hideMark/>
          </w:tcPr>
          <w:p w14:paraId="1DD228D4"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Travelling </w:t>
            </w:r>
          </w:p>
        </w:tc>
        <w:tc>
          <w:tcPr>
            <w:tcW w:w="0" w:type="auto"/>
            <w:tcBorders>
              <w:top w:val="nil"/>
              <w:left w:val="nil"/>
              <w:bottom w:val="nil"/>
              <w:right w:val="nil"/>
            </w:tcBorders>
            <w:shd w:val="clear" w:color="auto" w:fill="auto"/>
            <w:noWrap/>
            <w:vAlign w:val="bottom"/>
            <w:hideMark/>
          </w:tcPr>
          <w:p w14:paraId="22751121"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001ED6BD"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3A20C988"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16E03B14"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334739DF"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25,214 </w:t>
            </w:r>
          </w:p>
        </w:tc>
        <w:tc>
          <w:tcPr>
            <w:tcW w:w="0" w:type="auto"/>
            <w:tcBorders>
              <w:top w:val="nil"/>
              <w:left w:val="nil"/>
              <w:bottom w:val="nil"/>
              <w:right w:val="nil"/>
            </w:tcBorders>
            <w:shd w:val="clear" w:color="auto" w:fill="auto"/>
            <w:noWrap/>
            <w:vAlign w:val="bottom"/>
            <w:hideMark/>
          </w:tcPr>
          <w:p w14:paraId="4E83DE0D" w14:textId="77777777" w:rsidR="007A52A3" w:rsidRPr="00214121" w:rsidRDefault="007A52A3" w:rsidP="00214121">
            <w:pPr>
              <w:jc w:val="right"/>
              <w:rPr>
                <w:rFonts w:ascii="Arial" w:hAnsi="Arial"/>
                <w:color w:val="000000"/>
                <w:sz w:val="22"/>
                <w:szCs w:val="22"/>
                <w:lang w:val="en-US"/>
              </w:rPr>
            </w:pPr>
          </w:p>
        </w:tc>
      </w:tr>
      <w:tr w:rsidR="007A52A3" w:rsidRPr="00214121" w14:paraId="1E03CF89"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4684359A"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Accountancy and bookkeeping </w:t>
            </w:r>
          </w:p>
        </w:tc>
        <w:tc>
          <w:tcPr>
            <w:tcW w:w="0" w:type="auto"/>
            <w:tcBorders>
              <w:top w:val="nil"/>
              <w:left w:val="nil"/>
              <w:bottom w:val="nil"/>
              <w:right w:val="nil"/>
            </w:tcBorders>
            <w:shd w:val="clear" w:color="auto" w:fill="auto"/>
            <w:noWrap/>
            <w:vAlign w:val="bottom"/>
            <w:hideMark/>
          </w:tcPr>
          <w:p w14:paraId="590931A1"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50C1E1C7"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38FF6589"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38E7153B"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8,500 </w:t>
            </w:r>
          </w:p>
        </w:tc>
        <w:tc>
          <w:tcPr>
            <w:tcW w:w="0" w:type="auto"/>
            <w:tcBorders>
              <w:top w:val="nil"/>
              <w:left w:val="nil"/>
              <w:bottom w:val="nil"/>
              <w:right w:val="nil"/>
            </w:tcBorders>
            <w:shd w:val="clear" w:color="auto" w:fill="auto"/>
            <w:noWrap/>
            <w:vAlign w:val="bottom"/>
            <w:hideMark/>
          </w:tcPr>
          <w:p w14:paraId="142657D2" w14:textId="77777777" w:rsidR="007A52A3" w:rsidRPr="00214121" w:rsidRDefault="007A52A3" w:rsidP="00214121">
            <w:pPr>
              <w:jc w:val="right"/>
              <w:rPr>
                <w:rFonts w:ascii="Arial" w:hAnsi="Arial"/>
                <w:color w:val="000000"/>
                <w:sz w:val="22"/>
                <w:szCs w:val="22"/>
                <w:lang w:val="en-US"/>
              </w:rPr>
            </w:pPr>
          </w:p>
        </w:tc>
      </w:tr>
      <w:tr w:rsidR="007A52A3" w:rsidRPr="00214121" w14:paraId="76B92C08" w14:textId="77777777" w:rsidTr="00B9592E">
        <w:trPr>
          <w:trHeight w:val="300"/>
        </w:trPr>
        <w:tc>
          <w:tcPr>
            <w:tcW w:w="0" w:type="auto"/>
            <w:tcBorders>
              <w:top w:val="nil"/>
              <w:left w:val="nil"/>
              <w:bottom w:val="nil"/>
              <w:right w:val="nil"/>
            </w:tcBorders>
            <w:shd w:val="clear" w:color="auto" w:fill="auto"/>
            <w:noWrap/>
            <w:vAlign w:val="bottom"/>
            <w:hideMark/>
          </w:tcPr>
          <w:p w14:paraId="133D6FBF"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Bank charges </w:t>
            </w:r>
          </w:p>
        </w:tc>
        <w:tc>
          <w:tcPr>
            <w:tcW w:w="0" w:type="auto"/>
            <w:tcBorders>
              <w:top w:val="nil"/>
              <w:left w:val="nil"/>
              <w:bottom w:val="nil"/>
              <w:right w:val="nil"/>
            </w:tcBorders>
            <w:shd w:val="clear" w:color="auto" w:fill="auto"/>
            <w:noWrap/>
            <w:vAlign w:val="bottom"/>
            <w:hideMark/>
          </w:tcPr>
          <w:p w14:paraId="36F4B5F9"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64F5E526"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4864DEE3"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60C77C82"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60008375"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2,334 </w:t>
            </w:r>
          </w:p>
        </w:tc>
        <w:tc>
          <w:tcPr>
            <w:tcW w:w="0" w:type="auto"/>
            <w:tcBorders>
              <w:top w:val="nil"/>
              <w:left w:val="nil"/>
              <w:bottom w:val="nil"/>
              <w:right w:val="nil"/>
            </w:tcBorders>
            <w:shd w:val="clear" w:color="auto" w:fill="auto"/>
            <w:noWrap/>
            <w:vAlign w:val="bottom"/>
            <w:hideMark/>
          </w:tcPr>
          <w:p w14:paraId="0EBFFF7E" w14:textId="77777777" w:rsidR="007A52A3" w:rsidRPr="00214121" w:rsidRDefault="007A52A3" w:rsidP="00214121">
            <w:pPr>
              <w:jc w:val="right"/>
              <w:rPr>
                <w:rFonts w:ascii="Arial" w:hAnsi="Arial"/>
                <w:color w:val="000000"/>
                <w:sz w:val="22"/>
                <w:szCs w:val="22"/>
                <w:lang w:val="en-US"/>
              </w:rPr>
            </w:pPr>
          </w:p>
        </w:tc>
      </w:tr>
      <w:tr w:rsidR="007A52A3" w:rsidRPr="00214121" w14:paraId="1CE8B319"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38DB3601"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 xml:space="preserve">Depreciation charges </w:t>
            </w:r>
          </w:p>
        </w:tc>
        <w:tc>
          <w:tcPr>
            <w:tcW w:w="0" w:type="auto"/>
            <w:tcBorders>
              <w:top w:val="nil"/>
              <w:left w:val="nil"/>
              <w:bottom w:val="nil"/>
              <w:right w:val="nil"/>
            </w:tcBorders>
            <w:shd w:val="clear" w:color="auto" w:fill="auto"/>
            <w:noWrap/>
            <w:vAlign w:val="bottom"/>
            <w:hideMark/>
          </w:tcPr>
          <w:p w14:paraId="4CB38B05"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1EE923AC"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710A43B1"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31D3BEB5"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94,716 </w:t>
            </w:r>
          </w:p>
        </w:tc>
        <w:tc>
          <w:tcPr>
            <w:tcW w:w="0" w:type="auto"/>
            <w:tcBorders>
              <w:top w:val="nil"/>
              <w:left w:val="nil"/>
              <w:bottom w:val="nil"/>
              <w:right w:val="nil"/>
            </w:tcBorders>
            <w:shd w:val="clear" w:color="auto" w:fill="auto"/>
            <w:noWrap/>
            <w:vAlign w:val="bottom"/>
            <w:hideMark/>
          </w:tcPr>
          <w:p w14:paraId="234804B1" w14:textId="77777777" w:rsidR="007A52A3" w:rsidRPr="00214121" w:rsidRDefault="007A52A3" w:rsidP="00214121">
            <w:pPr>
              <w:jc w:val="right"/>
              <w:rPr>
                <w:rFonts w:ascii="Arial" w:hAnsi="Arial"/>
                <w:color w:val="000000"/>
                <w:sz w:val="22"/>
                <w:szCs w:val="22"/>
                <w:lang w:val="en-US"/>
              </w:rPr>
            </w:pPr>
          </w:p>
        </w:tc>
      </w:tr>
      <w:tr w:rsidR="007A52A3" w:rsidRPr="00214121" w14:paraId="17205D87" w14:textId="77777777" w:rsidTr="00B9592E">
        <w:trPr>
          <w:trHeight w:val="300"/>
        </w:trPr>
        <w:tc>
          <w:tcPr>
            <w:tcW w:w="0" w:type="auto"/>
            <w:tcBorders>
              <w:top w:val="nil"/>
              <w:left w:val="nil"/>
              <w:bottom w:val="nil"/>
              <w:right w:val="nil"/>
            </w:tcBorders>
            <w:shd w:val="clear" w:color="auto" w:fill="auto"/>
            <w:noWrap/>
            <w:vAlign w:val="bottom"/>
            <w:hideMark/>
          </w:tcPr>
          <w:p w14:paraId="262B93C9" w14:textId="77777777" w:rsidR="007A52A3" w:rsidRPr="00214121" w:rsidRDefault="007A52A3" w:rsidP="00214121">
            <w:pPr>
              <w:rPr>
                <w:rFonts w:ascii="Arial" w:hAnsi="Arial"/>
                <w:color w:val="000000"/>
                <w:sz w:val="22"/>
                <w:szCs w:val="22"/>
                <w:lang w:val="en-US"/>
              </w:rPr>
            </w:pPr>
            <w:r w:rsidRPr="00214121">
              <w:rPr>
                <w:rFonts w:ascii="Arial" w:hAnsi="Arial"/>
                <w:color w:val="000000"/>
                <w:sz w:val="22"/>
                <w:szCs w:val="22"/>
                <w:lang w:val="en-US"/>
              </w:rPr>
              <w:t>Tax</w:t>
            </w:r>
          </w:p>
        </w:tc>
        <w:tc>
          <w:tcPr>
            <w:tcW w:w="0" w:type="auto"/>
            <w:tcBorders>
              <w:top w:val="nil"/>
              <w:left w:val="nil"/>
              <w:bottom w:val="nil"/>
              <w:right w:val="nil"/>
            </w:tcBorders>
            <w:shd w:val="clear" w:color="auto" w:fill="auto"/>
            <w:noWrap/>
            <w:vAlign w:val="bottom"/>
            <w:hideMark/>
          </w:tcPr>
          <w:p w14:paraId="70D1475B" w14:textId="77777777" w:rsidR="007A52A3" w:rsidRPr="00214121" w:rsidRDefault="007A52A3" w:rsidP="00214121">
            <w:pPr>
              <w:rPr>
                <w:rFonts w:ascii="Arial" w:hAnsi="Arial"/>
                <w:color w:val="000000"/>
                <w:sz w:val="22"/>
                <w:szCs w:val="22"/>
                <w:lang w:val="en-US"/>
              </w:rPr>
            </w:pPr>
          </w:p>
        </w:tc>
        <w:tc>
          <w:tcPr>
            <w:tcW w:w="0" w:type="auto"/>
            <w:tcBorders>
              <w:top w:val="nil"/>
              <w:left w:val="nil"/>
              <w:bottom w:val="nil"/>
              <w:right w:val="nil"/>
            </w:tcBorders>
            <w:shd w:val="clear" w:color="auto" w:fill="auto"/>
            <w:noWrap/>
            <w:vAlign w:val="bottom"/>
            <w:hideMark/>
          </w:tcPr>
          <w:p w14:paraId="27AB56E3"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7330FA6F"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39046877"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792865AF"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151,700 </w:t>
            </w:r>
          </w:p>
        </w:tc>
        <w:tc>
          <w:tcPr>
            <w:tcW w:w="0" w:type="auto"/>
            <w:tcBorders>
              <w:top w:val="nil"/>
              <w:left w:val="nil"/>
              <w:bottom w:val="nil"/>
              <w:right w:val="nil"/>
            </w:tcBorders>
            <w:shd w:val="clear" w:color="auto" w:fill="auto"/>
            <w:noWrap/>
            <w:vAlign w:val="bottom"/>
            <w:hideMark/>
          </w:tcPr>
          <w:p w14:paraId="1DD1DD38" w14:textId="77777777" w:rsidR="007A52A3" w:rsidRPr="00214121" w:rsidRDefault="007A52A3" w:rsidP="00214121">
            <w:pPr>
              <w:jc w:val="right"/>
              <w:rPr>
                <w:rFonts w:ascii="Arial" w:hAnsi="Arial"/>
                <w:color w:val="000000"/>
                <w:sz w:val="22"/>
                <w:szCs w:val="22"/>
                <w:lang w:val="en-US"/>
              </w:rPr>
            </w:pPr>
          </w:p>
        </w:tc>
      </w:tr>
      <w:tr w:rsidR="007A52A3" w:rsidRPr="00214121" w14:paraId="32235964" w14:textId="77777777" w:rsidTr="00B9592E">
        <w:trPr>
          <w:trHeight w:val="320"/>
        </w:trPr>
        <w:tc>
          <w:tcPr>
            <w:tcW w:w="0" w:type="auto"/>
            <w:tcBorders>
              <w:top w:val="nil"/>
              <w:left w:val="nil"/>
              <w:bottom w:val="nil"/>
              <w:right w:val="nil"/>
            </w:tcBorders>
            <w:shd w:val="clear" w:color="auto" w:fill="auto"/>
            <w:noWrap/>
            <w:vAlign w:val="bottom"/>
            <w:hideMark/>
          </w:tcPr>
          <w:p w14:paraId="4FB0AFA7" w14:textId="77777777" w:rsidR="007A52A3" w:rsidRPr="00214121" w:rsidRDefault="007A52A3" w:rsidP="00214121">
            <w:pPr>
              <w:jc w:val="right"/>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484F6891"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296B66C8"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1852D3E9" w14:textId="77777777" w:rsidR="007A52A3" w:rsidRPr="00214121" w:rsidRDefault="007A52A3" w:rsidP="00214121">
            <w:pPr>
              <w:rPr>
                <w:rFonts w:ascii="Arial" w:hAnsi="Arial"/>
                <w:sz w:val="22"/>
                <w:szCs w:val="22"/>
                <w:lang w:val="en-US"/>
              </w:rPr>
            </w:pPr>
          </w:p>
        </w:tc>
        <w:tc>
          <w:tcPr>
            <w:tcW w:w="0" w:type="auto"/>
            <w:tcBorders>
              <w:top w:val="nil"/>
              <w:left w:val="nil"/>
              <w:bottom w:val="nil"/>
              <w:right w:val="nil"/>
            </w:tcBorders>
            <w:shd w:val="clear" w:color="auto" w:fill="auto"/>
            <w:noWrap/>
            <w:vAlign w:val="bottom"/>
            <w:hideMark/>
          </w:tcPr>
          <w:p w14:paraId="3C984F89" w14:textId="77777777" w:rsidR="007A52A3" w:rsidRPr="00214121" w:rsidRDefault="007A52A3" w:rsidP="00214121">
            <w:pPr>
              <w:rPr>
                <w:rFonts w:ascii="Arial" w:hAnsi="Arial"/>
                <w:sz w:val="22"/>
                <w:szCs w:val="22"/>
                <w:lang w:val="en-US"/>
              </w:rPr>
            </w:pPr>
          </w:p>
        </w:tc>
        <w:tc>
          <w:tcPr>
            <w:tcW w:w="0" w:type="auto"/>
            <w:tcBorders>
              <w:top w:val="single" w:sz="4" w:space="0" w:color="auto"/>
              <w:left w:val="nil"/>
              <w:bottom w:val="double" w:sz="6" w:space="0" w:color="auto"/>
              <w:right w:val="nil"/>
            </w:tcBorders>
            <w:shd w:val="clear" w:color="auto" w:fill="auto"/>
            <w:noWrap/>
            <w:vAlign w:val="bottom"/>
            <w:hideMark/>
          </w:tcPr>
          <w:p w14:paraId="3A3015F5"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6,565,870 </w:t>
            </w:r>
          </w:p>
        </w:tc>
        <w:tc>
          <w:tcPr>
            <w:tcW w:w="0" w:type="auto"/>
            <w:tcBorders>
              <w:top w:val="single" w:sz="4" w:space="0" w:color="auto"/>
              <w:left w:val="nil"/>
              <w:bottom w:val="double" w:sz="6" w:space="0" w:color="auto"/>
              <w:right w:val="nil"/>
            </w:tcBorders>
            <w:shd w:val="clear" w:color="auto" w:fill="auto"/>
            <w:noWrap/>
            <w:vAlign w:val="bottom"/>
            <w:hideMark/>
          </w:tcPr>
          <w:p w14:paraId="61C73404" w14:textId="77777777" w:rsidR="007A52A3" w:rsidRPr="00214121" w:rsidRDefault="007A52A3" w:rsidP="00214121">
            <w:pPr>
              <w:jc w:val="right"/>
              <w:rPr>
                <w:rFonts w:ascii="Arial" w:hAnsi="Arial"/>
                <w:color w:val="000000"/>
                <w:sz w:val="22"/>
                <w:szCs w:val="22"/>
                <w:lang w:val="en-US"/>
              </w:rPr>
            </w:pPr>
            <w:r w:rsidRPr="00214121">
              <w:rPr>
                <w:rFonts w:ascii="Arial" w:hAnsi="Arial"/>
                <w:color w:val="000000"/>
                <w:sz w:val="22"/>
                <w:szCs w:val="22"/>
                <w:lang w:val="en-US"/>
              </w:rPr>
              <w:t xml:space="preserve">6,565,870 </w:t>
            </w:r>
          </w:p>
        </w:tc>
      </w:tr>
    </w:tbl>
    <w:p w14:paraId="1129264D" w14:textId="77777777" w:rsidR="007A52A3" w:rsidRPr="00214121" w:rsidRDefault="007A52A3" w:rsidP="00214121">
      <w:pPr>
        <w:spacing w:line="360" w:lineRule="auto"/>
        <w:rPr>
          <w:rFonts w:ascii="Arial" w:hAnsi="Arial"/>
        </w:rPr>
      </w:pPr>
    </w:p>
    <w:p w14:paraId="57BC964D" w14:textId="77777777" w:rsidR="00130CB2" w:rsidRDefault="00130CB2">
      <w:pPr>
        <w:rPr>
          <w:rFonts w:ascii="Arial" w:hAnsi="Arial"/>
        </w:rPr>
      </w:pPr>
      <w:r>
        <w:rPr>
          <w:rFonts w:ascii="Arial" w:hAnsi="Arial"/>
        </w:rPr>
        <w:br w:type="page"/>
      </w:r>
    </w:p>
    <w:p w14:paraId="72AF0AB2" w14:textId="22D81C26" w:rsidR="007A52A3" w:rsidRPr="00214121" w:rsidRDefault="007A52A3" w:rsidP="00214121">
      <w:pPr>
        <w:spacing w:line="360" w:lineRule="auto"/>
        <w:rPr>
          <w:rFonts w:ascii="Arial" w:hAnsi="Arial"/>
        </w:rPr>
      </w:pPr>
      <w:r w:rsidRPr="00214121">
        <w:rPr>
          <w:rFonts w:ascii="Arial" w:hAnsi="Arial"/>
        </w:rPr>
        <w:lastRenderedPageBreak/>
        <w:t>Summary financial statements based on the above trial balance are as follows:</w:t>
      </w:r>
    </w:p>
    <w:p w14:paraId="403A4DBE" w14:textId="77777777" w:rsidR="007A52A3" w:rsidRPr="00214121" w:rsidRDefault="007A52A3" w:rsidP="00214121">
      <w:pPr>
        <w:spacing w:line="360" w:lineRule="auto"/>
        <w:rPr>
          <w:rFonts w:ascii="Arial" w:hAnsi="Arial"/>
        </w:rPr>
      </w:pPr>
    </w:p>
    <w:p w14:paraId="17C54E43" w14:textId="77777777" w:rsidR="007A52A3" w:rsidRPr="00214121" w:rsidRDefault="007A52A3" w:rsidP="00214121">
      <w:pPr>
        <w:spacing w:line="360" w:lineRule="auto"/>
        <w:rPr>
          <w:rFonts w:ascii="Arial" w:hAnsi="Arial"/>
          <w:b/>
        </w:rPr>
      </w:pPr>
      <w:r w:rsidRPr="00214121">
        <w:rPr>
          <w:rFonts w:ascii="Arial" w:hAnsi="Arial"/>
          <w:b/>
        </w:rPr>
        <w:t>Balance sheet</w:t>
      </w:r>
    </w:p>
    <w:tbl>
      <w:tblPr>
        <w:tblW w:w="0" w:type="auto"/>
        <w:tblLook w:val="04A0" w:firstRow="1" w:lastRow="0" w:firstColumn="1" w:lastColumn="0" w:noHBand="0" w:noVBand="1"/>
      </w:tblPr>
      <w:tblGrid>
        <w:gridCol w:w="2683"/>
        <w:gridCol w:w="335"/>
        <w:gridCol w:w="1284"/>
        <w:gridCol w:w="1284"/>
      </w:tblGrid>
      <w:tr w:rsidR="007A52A3" w:rsidRPr="007A52A3" w14:paraId="7CB7D99B" w14:textId="77777777" w:rsidTr="00B9592E">
        <w:trPr>
          <w:trHeight w:val="320"/>
        </w:trPr>
        <w:tc>
          <w:tcPr>
            <w:tcW w:w="0" w:type="auto"/>
            <w:tcBorders>
              <w:top w:val="nil"/>
              <w:left w:val="nil"/>
              <w:bottom w:val="nil"/>
              <w:right w:val="nil"/>
            </w:tcBorders>
            <w:shd w:val="clear" w:color="auto" w:fill="auto"/>
            <w:noWrap/>
            <w:vAlign w:val="bottom"/>
            <w:hideMark/>
          </w:tcPr>
          <w:p w14:paraId="07582AD3"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5C6F82E5"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3CFD6568"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w:t>
            </w:r>
          </w:p>
        </w:tc>
        <w:tc>
          <w:tcPr>
            <w:tcW w:w="0" w:type="auto"/>
            <w:tcBorders>
              <w:top w:val="nil"/>
              <w:left w:val="nil"/>
              <w:bottom w:val="nil"/>
              <w:right w:val="nil"/>
            </w:tcBorders>
            <w:shd w:val="clear" w:color="auto" w:fill="auto"/>
            <w:noWrap/>
            <w:vAlign w:val="bottom"/>
            <w:hideMark/>
          </w:tcPr>
          <w:p w14:paraId="602814EE"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w:t>
            </w:r>
          </w:p>
        </w:tc>
      </w:tr>
      <w:tr w:rsidR="007A52A3" w:rsidRPr="007A52A3" w14:paraId="53819FE1" w14:textId="77777777" w:rsidTr="00B9592E">
        <w:trPr>
          <w:trHeight w:val="300"/>
        </w:trPr>
        <w:tc>
          <w:tcPr>
            <w:tcW w:w="0" w:type="auto"/>
            <w:tcBorders>
              <w:top w:val="nil"/>
              <w:left w:val="nil"/>
              <w:bottom w:val="nil"/>
              <w:right w:val="nil"/>
            </w:tcBorders>
            <w:shd w:val="clear" w:color="auto" w:fill="auto"/>
            <w:noWrap/>
            <w:vAlign w:val="bottom"/>
            <w:hideMark/>
          </w:tcPr>
          <w:p w14:paraId="342405C5"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Fixed assets</w:t>
            </w:r>
          </w:p>
        </w:tc>
        <w:tc>
          <w:tcPr>
            <w:tcW w:w="0" w:type="auto"/>
            <w:tcBorders>
              <w:top w:val="nil"/>
              <w:left w:val="nil"/>
              <w:bottom w:val="nil"/>
              <w:right w:val="nil"/>
            </w:tcBorders>
            <w:shd w:val="clear" w:color="auto" w:fill="auto"/>
            <w:noWrap/>
            <w:vAlign w:val="bottom"/>
            <w:hideMark/>
          </w:tcPr>
          <w:p w14:paraId="64FE3726"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07968BD1"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352,192 </w:t>
            </w:r>
          </w:p>
        </w:tc>
        <w:tc>
          <w:tcPr>
            <w:tcW w:w="0" w:type="auto"/>
            <w:tcBorders>
              <w:top w:val="nil"/>
              <w:left w:val="nil"/>
              <w:bottom w:val="nil"/>
              <w:right w:val="nil"/>
            </w:tcBorders>
            <w:shd w:val="clear" w:color="auto" w:fill="auto"/>
            <w:noWrap/>
            <w:vAlign w:val="bottom"/>
            <w:hideMark/>
          </w:tcPr>
          <w:p w14:paraId="357E90B1" w14:textId="77777777" w:rsidR="007A52A3" w:rsidRPr="00214121" w:rsidRDefault="007A52A3" w:rsidP="00214121">
            <w:pPr>
              <w:spacing w:line="360" w:lineRule="auto"/>
              <w:jc w:val="right"/>
              <w:rPr>
                <w:rFonts w:ascii="Arial" w:hAnsi="Arial"/>
                <w:color w:val="000000"/>
                <w:lang w:val="en-US"/>
              </w:rPr>
            </w:pPr>
          </w:p>
        </w:tc>
      </w:tr>
      <w:tr w:rsidR="007A52A3" w:rsidRPr="007A52A3" w14:paraId="678FBFA2" w14:textId="77777777" w:rsidTr="00B9592E">
        <w:trPr>
          <w:trHeight w:val="300"/>
        </w:trPr>
        <w:tc>
          <w:tcPr>
            <w:tcW w:w="0" w:type="auto"/>
            <w:tcBorders>
              <w:top w:val="nil"/>
              <w:left w:val="nil"/>
              <w:bottom w:val="nil"/>
              <w:right w:val="nil"/>
            </w:tcBorders>
            <w:shd w:val="clear" w:color="auto" w:fill="auto"/>
            <w:noWrap/>
            <w:vAlign w:val="bottom"/>
            <w:hideMark/>
          </w:tcPr>
          <w:p w14:paraId="2EDF62D1"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Current assets </w:t>
            </w:r>
          </w:p>
        </w:tc>
        <w:tc>
          <w:tcPr>
            <w:tcW w:w="0" w:type="auto"/>
            <w:tcBorders>
              <w:top w:val="nil"/>
              <w:left w:val="nil"/>
              <w:bottom w:val="nil"/>
              <w:right w:val="nil"/>
            </w:tcBorders>
            <w:shd w:val="clear" w:color="auto" w:fill="auto"/>
            <w:noWrap/>
            <w:vAlign w:val="bottom"/>
            <w:hideMark/>
          </w:tcPr>
          <w:p w14:paraId="4ADEAADD"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5B4DD04D"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2,537,097 </w:t>
            </w:r>
          </w:p>
        </w:tc>
        <w:tc>
          <w:tcPr>
            <w:tcW w:w="0" w:type="auto"/>
            <w:tcBorders>
              <w:top w:val="nil"/>
              <w:left w:val="nil"/>
              <w:bottom w:val="nil"/>
              <w:right w:val="nil"/>
            </w:tcBorders>
            <w:shd w:val="clear" w:color="auto" w:fill="auto"/>
            <w:noWrap/>
            <w:vAlign w:val="bottom"/>
            <w:hideMark/>
          </w:tcPr>
          <w:p w14:paraId="533D0904" w14:textId="77777777" w:rsidR="007A52A3" w:rsidRPr="00214121" w:rsidRDefault="007A52A3" w:rsidP="00214121">
            <w:pPr>
              <w:spacing w:line="360" w:lineRule="auto"/>
              <w:jc w:val="right"/>
              <w:rPr>
                <w:rFonts w:ascii="Arial" w:hAnsi="Arial"/>
                <w:color w:val="000000"/>
                <w:lang w:val="en-US"/>
              </w:rPr>
            </w:pPr>
          </w:p>
        </w:tc>
      </w:tr>
      <w:tr w:rsidR="007A52A3" w:rsidRPr="007A52A3" w14:paraId="4DE60303" w14:textId="77777777" w:rsidTr="00B9592E">
        <w:trPr>
          <w:trHeight w:val="300"/>
        </w:trPr>
        <w:tc>
          <w:tcPr>
            <w:tcW w:w="0" w:type="auto"/>
            <w:tcBorders>
              <w:top w:val="nil"/>
              <w:left w:val="nil"/>
              <w:bottom w:val="nil"/>
              <w:right w:val="nil"/>
            </w:tcBorders>
            <w:shd w:val="clear" w:color="auto" w:fill="auto"/>
            <w:noWrap/>
            <w:vAlign w:val="bottom"/>
            <w:hideMark/>
          </w:tcPr>
          <w:p w14:paraId="10B79A3F"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Liabilities </w:t>
            </w:r>
          </w:p>
        </w:tc>
        <w:tc>
          <w:tcPr>
            <w:tcW w:w="0" w:type="auto"/>
            <w:tcBorders>
              <w:top w:val="nil"/>
              <w:left w:val="nil"/>
              <w:bottom w:val="nil"/>
              <w:right w:val="nil"/>
            </w:tcBorders>
            <w:shd w:val="clear" w:color="auto" w:fill="auto"/>
            <w:noWrap/>
            <w:vAlign w:val="bottom"/>
            <w:hideMark/>
          </w:tcPr>
          <w:p w14:paraId="6EA5280B"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50FE20EF"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4042633D"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334,462 </w:t>
            </w:r>
          </w:p>
        </w:tc>
      </w:tr>
      <w:tr w:rsidR="007A52A3" w:rsidRPr="007A52A3" w14:paraId="3621A5B3"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0C0E5A7E"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Provisions for deferred tax </w:t>
            </w:r>
          </w:p>
        </w:tc>
        <w:tc>
          <w:tcPr>
            <w:tcW w:w="0" w:type="auto"/>
            <w:tcBorders>
              <w:top w:val="nil"/>
              <w:left w:val="nil"/>
              <w:bottom w:val="nil"/>
              <w:right w:val="nil"/>
            </w:tcBorders>
            <w:shd w:val="clear" w:color="auto" w:fill="auto"/>
            <w:noWrap/>
            <w:vAlign w:val="bottom"/>
            <w:hideMark/>
          </w:tcPr>
          <w:p w14:paraId="1DB2436E"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5AD19A84"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29,540 </w:t>
            </w:r>
          </w:p>
        </w:tc>
      </w:tr>
      <w:tr w:rsidR="007A52A3" w:rsidRPr="007A52A3" w14:paraId="6B3DB59E"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43DEA582"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Equity and reserves </w:t>
            </w:r>
          </w:p>
        </w:tc>
        <w:tc>
          <w:tcPr>
            <w:tcW w:w="0" w:type="auto"/>
            <w:tcBorders>
              <w:top w:val="nil"/>
              <w:left w:val="nil"/>
              <w:bottom w:val="nil"/>
              <w:right w:val="nil"/>
            </w:tcBorders>
            <w:shd w:val="clear" w:color="auto" w:fill="auto"/>
            <w:noWrap/>
            <w:vAlign w:val="bottom"/>
            <w:hideMark/>
          </w:tcPr>
          <w:p w14:paraId="4F805221"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08DB9708"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2,525,287 </w:t>
            </w:r>
          </w:p>
        </w:tc>
      </w:tr>
      <w:tr w:rsidR="007A52A3" w:rsidRPr="007A52A3" w14:paraId="6EBD3C9F" w14:textId="77777777" w:rsidTr="00B9592E">
        <w:trPr>
          <w:trHeight w:val="320"/>
        </w:trPr>
        <w:tc>
          <w:tcPr>
            <w:tcW w:w="0" w:type="auto"/>
            <w:tcBorders>
              <w:top w:val="nil"/>
              <w:left w:val="nil"/>
              <w:bottom w:val="nil"/>
              <w:right w:val="nil"/>
            </w:tcBorders>
            <w:shd w:val="clear" w:color="auto" w:fill="auto"/>
            <w:noWrap/>
            <w:vAlign w:val="bottom"/>
            <w:hideMark/>
          </w:tcPr>
          <w:p w14:paraId="396D5294" w14:textId="77777777" w:rsidR="007A52A3" w:rsidRPr="00214121" w:rsidRDefault="007A52A3" w:rsidP="00214121">
            <w:pPr>
              <w:spacing w:line="360" w:lineRule="auto"/>
              <w:jc w:val="right"/>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3205CC10" w14:textId="77777777" w:rsidR="007A52A3" w:rsidRPr="00214121" w:rsidRDefault="007A52A3" w:rsidP="00214121">
            <w:pPr>
              <w:spacing w:line="360" w:lineRule="auto"/>
              <w:rPr>
                <w:rFonts w:ascii="Arial" w:hAnsi="Arial"/>
                <w:lang w:val="en-US"/>
              </w:rPr>
            </w:pPr>
          </w:p>
        </w:tc>
        <w:tc>
          <w:tcPr>
            <w:tcW w:w="0" w:type="auto"/>
            <w:tcBorders>
              <w:top w:val="single" w:sz="4" w:space="0" w:color="auto"/>
              <w:left w:val="nil"/>
              <w:bottom w:val="double" w:sz="6" w:space="0" w:color="auto"/>
              <w:right w:val="nil"/>
            </w:tcBorders>
            <w:shd w:val="clear" w:color="auto" w:fill="auto"/>
            <w:noWrap/>
            <w:vAlign w:val="bottom"/>
            <w:hideMark/>
          </w:tcPr>
          <w:p w14:paraId="2372428D"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2,889,289 </w:t>
            </w:r>
          </w:p>
        </w:tc>
        <w:tc>
          <w:tcPr>
            <w:tcW w:w="0" w:type="auto"/>
            <w:tcBorders>
              <w:top w:val="single" w:sz="4" w:space="0" w:color="auto"/>
              <w:left w:val="nil"/>
              <w:bottom w:val="double" w:sz="6" w:space="0" w:color="auto"/>
              <w:right w:val="nil"/>
            </w:tcBorders>
            <w:shd w:val="clear" w:color="auto" w:fill="auto"/>
            <w:noWrap/>
            <w:vAlign w:val="bottom"/>
            <w:hideMark/>
          </w:tcPr>
          <w:p w14:paraId="716FF2A9"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2,889,289 </w:t>
            </w:r>
          </w:p>
        </w:tc>
      </w:tr>
    </w:tbl>
    <w:p w14:paraId="6CCB8A15" w14:textId="77777777" w:rsidR="007A52A3" w:rsidRPr="00214121" w:rsidRDefault="007A52A3" w:rsidP="00214121">
      <w:pPr>
        <w:spacing w:line="360" w:lineRule="auto"/>
        <w:rPr>
          <w:rFonts w:ascii="Arial" w:hAnsi="Arial"/>
        </w:rPr>
      </w:pPr>
    </w:p>
    <w:p w14:paraId="577D3E3D" w14:textId="77777777" w:rsidR="007A52A3" w:rsidRPr="00214121" w:rsidRDefault="007A52A3" w:rsidP="00214121">
      <w:pPr>
        <w:spacing w:line="360" w:lineRule="auto"/>
        <w:rPr>
          <w:rFonts w:ascii="Arial" w:hAnsi="Arial"/>
          <w:b/>
        </w:rPr>
      </w:pPr>
      <w:r w:rsidRPr="00214121">
        <w:rPr>
          <w:rFonts w:ascii="Arial" w:hAnsi="Arial"/>
          <w:b/>
        </w:rPr>
        <w:t>Profit and loss account</w:t>
      </w:r>
    </w:p>
    <w:tbl>
      <w:tblPr>
        <w:tblW w:w="0" w:type="auto"/>
        <w:tblLook w:val="04A0" w:firstRow="1" w:lastRow="0" w:firstColumn="1" w:lastColumn="0" w:noHBand="0" w:noVBand="1"/>
      </w:tblPr>
      <w:tblGrid>
        <w:gridCol w:w="2494"/>
        <w:gridCol w:w="324"/>
        <w:gridCol w:w="222"/>
        <w:gridCol w:w="1444"/>
      </w:tblGrid>
      <w:tr w:rsidR="007A52A3" w:rsidRPr="007A52A3" w14:paraId="74EA1852" w14:textId="77777777" w:rsidTr="00B9592E">
        <w:trPr>
          <w:trHeight w:val="300"/>
        </w:trPr>
        <w:tc>
          <w:tcPr>
            <w:tcW w:w="0" w:type="auto"/>
            <w:tcBorders>
              <w:top w:val="nil"/>
              <w:left w:val="nil"/>
              <w:bottom w:val="nil"/>
              <w:right w:val="nil"/>
            </w:tcBorders>
            <w:shd w:val="clear" w:color="auto" w:fill="auto"/>
            <w:noWrap/>
            <w:vAlign w:val="bottom"/>
            <w:hideMark/>
          </w:tcPr>
          <w:p w14:paraId="7AC998AD"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22F321FB"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646B5AD8"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0589074F"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w:t>
            </w:r>
          </w:p>
        </w:tc>
      </w:tr>
      <w:tr w:rsidR="007A52A3" w:rsidRPr="007A52A3" w14:paraId="33FB95BD" w14:textId="77777777" w:rsidTr="00B9592E">
        <w:trPr>
          <w:trHeight w:val="300"/>
        </w:trPr>
        <w:tc>
          <w:tcPr>
            <w:tcW w:w="0" w:type="auto"/>
            <w:tcBorders>
              <w:top w:val="nil"/>
              <w:left w:val="nil"/>
              <w:bottom w:val="nil"/>
              <w:right w:val="nil"/>
            </w:tcBorders>
            <w:shd w:val="clear" w:color="auto" w:fill="auto"/>
            <w:noWrap/>
            <w:vAlign w:val="bottom"/>
            <w:hideMark/>
          </w:tcPr>
          <w:p w14:paraId="53B3EB96"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Turnover </w:t>
            </w:r>
          </w:p>
        </w:tc>
        <w:tc>
          <w:tcPr>
            <w:tcW w:w="0" w:type="auto"/>
            <w:tcBorders>
              <w:top w:val="nil"/>
              <w:left w:val="nil"/>
              <w:bottom w:val="nil"/>
              <w:right w:val="nil"/>
            </w:tcBorders>
            <w:shd w:val="clear" w:color="auto" w:fill="auto"/>
            <w:noWrap/>
            <w:vAlign w:val="bottom"/>
            <w:hideMark/>
          </w:tcPr>
          <w:p w14:paraId="3861C59D"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19E6F5FF"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4C7808EF"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4,126,211 </w:t>
            </w:r>
          </w:p>
        </w:tc>
      </w:tr>
      <w:tr w:rsidR="007A52A3" w:rsidRPr="007A52A3" w14:paraId="2EE44B8E" w14:textId="77777777" w:rsidTr="00B9592E">
        <w:trPr>
          <w:trHeight w:val="300"/>
        </w:trPr>
        <w:tc>
          <w:tcPr>
            <w:tcW w:w="0" w:type="auto"/>
            <w:tcBorders>
              <w:top w:val="nil"/>
              <w:left w:val="nil"/>
              <w:bottom w:val="nil"/>
              <w:right w:val="nil"/>
            </w:tcBorders>
            <w:shd w:val="clear" w:color="auto" w:fill="auto"/>
            <w:noWrap/>
            <w:vAlign w:val="bottom"/>
            <w:hideMark/>
          </w:tcPr>
          <w:p w14:paraId="55AC3020"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Cost of sales</w:t>
            </w:r>
          </w:p>
        </w:tc>
        <w:tc>
          <w:tcPr>
            <w:tcW w:w="0" w:type="auto"/>
            <w:tcBorders>
              <w:top w:val="nil"/>
              <w:left w:val="nil"/>
              <w:bottom w:val="nil"/>
              <w:right w:val="nil"/>
            </w:tcBorders>
            <w:shd w:val="clear" w:color="auto" w:fill="auto"/>
            <w:noWrap/>
            <w:vAlign w:val="bottom"/>
            <w:hideMark/>
          </w:tcPr>
          <w:p w14:paraId="49BF2BDE"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4602C13C"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72BBEF9D"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(2,572,708)</w:t>
            </w:r>
          </w:p>
        </w:tc>
      </w:tr>
      <w:tr w:rsidR="007A52A3" w:rsidRPr="007A52A3" w14:paraId="5757F161"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07334142"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Distribution costs </w:t>
            </w:r>
          </w:p>
        </w:tc>
        <w:tc>
          <w:tcPr>
            <w:tcW w:w="0" w:type="auto"/>
            <w:tcBorders>
              <w:top w:val="nil"/>
              <w:left w:val="nil"/>
              <w:bottom w:val="nil"/>
              <w:right w:val="nil"/>
            </w:tcBorders>
            <w:shd w:val="clear" w:color="auto" w:fill="auto"/>
            <w:noWrap/>
            <w:vAlign w:val="bottom"/>
            <w:hideMark/>
          </w:tcPr>
          <w:p w14:paraId="545B3D11"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4B42A8F1"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(351,104)</w:t>
            </w:r>
          </w:p>
        </w:tc>
      </w:tr>
      <w:tr w:rsidR="007A52A3" w:rsidRPr="007A52A3" w14:paraId="7DEFB955"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63D3E92F"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Administrative expenses </w:t>
            </w:r>
          </w:p>
        </w:tc>
        <w:tc>
          <w:tcPr>
            <w:tcW w:w="0" w:type="auto"/>
            <w:tcBorders>
              <w:top w:val="nil"/>
              <w:left w:val="nil"/>
              <w:bottom w:val="nil"/>
              <w:right w:val="nil"/>
            </w:tcBorders>
            <w:shd w:val="clear" w:color="auto" w:fill="auto"/>
            <w:noWrap/>
            <w:vAlign w:val="bottom"/>
            <w:hideMark/>
          </w:tcPr>
          <w:p w14:paraId="53A58CD6"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single" w:sz="4" w:space="0" w:color="auto"/>
              <w:right w:val="nil"/>
            </w:tcBorders>
            <w:shd w:val="clear" w:color="auto" w:fill="auto"/>
            <w:noWrap/>
            <w:vAlign w:val="bottom"/>
            <w:hideMark/>
          </w:tcPr>
          <w:p w14:paraId="1118C2A4"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(279,821)</w:t>
            </w:r>
          </w:p>
        </w:tc>
      </w:tr>
      <w:tr w:rsidR="007A52A3" w:rsidRPr="007A52A3" w14:paraId="24102FE2"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70A5F513"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Profit before tax </w:t>
            </w:r>
          </w:p>
        </w:tc>
        <w:tc>
          <w:tcPr>
            <w:tcW w:w="0" w:type="auto"/>
            <w:tcBorders>
              <w:top w:val="nil"/>
              <w:left w:val="nil"/>
              <w:bottom w:val="nil"/>
              <w:right w:val="nil"/>
            </w:tcBorders>
            <w:shd w:val="clear" w:color="auto" w:fill="auto"/>
            <w:noWrap/>
            <w:vAlign w:val="bottom"/>
            <w:hideMark/>
          </w:tcPr>
          <w:p w14:paraId="29B7DC34"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0D878BF0"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922,578 </w:t>
            </w:r>
          </w:p>
        </w:tc>
      </w:tr>
      <w:tr w:rsidR="007A52A3" w:rsidRPr="007A52A3" w14:paraId="139F10A0" w14:textId="77777777" w:rsidTr="00B9592E">
        <w:trPr>
          <w:trHeight w:val="300"/>
        </w:trPr>
        <w:tc>
          <w:tcPr>
            <w:tcW w:w="0" w:type="auto"/>
            <w:tcBorders>
              <w:top w:val="nil"/>
              <w:left w:val="nil"/>
              <w:bottom w:val="nil"/>
              <w:right w:val="nil"/>
            </w:tcBorders>
            <w:shd w:val="clear" w:color="auto" w:fill="auto"/>
            <w:noWrap/>
            <w:vAlign w:val="bottom"/>
            <w:hideMark/>
          </w:tcPr>
          <w:p w14:paraId="1C09C5B3"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Tax </w:t>
            </w:r>
          </w:p>
        </w:tc>
        <w:tc>
          <w:tcPr>
            <w:tcW w:w="0" w:type="auto"/>
            <w:tcBorders>
              <w:top w:val="nil"/>
              <w:left w:val="nil"/>
              <w:bottom w:val="nil"/>
              <w:right w:val="nil"/>
            </w:tcBorders>
            <w:shd w:val="clear" w:color="auto" w:fill="auto"/>
            <w:noWrap/>
            <w:vAlign w:val="bottom"/>
            <w:hideMark/>
          </w:tcPr>
          <w:p w14:paraId="3DF21A47"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0BE6DCC1"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32AF8C1D"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(151,700)</w:t>
            </w:r>
          </w:p>
        </w:tc>
      </w:tr>
      <w:tr w:rsidR="007A52A3" w:rsidRPr="007A52A3" w14:paraId="77669B12" w14:textId="77777777" w:rsidTr="00B9592E">
        <w:trPr>
          <w:trHeight w:val="320"/>
        </w:trPr>
        <w:tc>
          <w:tcPr>
            <w:tcW w:w="0" w:type="auto"/>
            <w:tcBorders>
              <w:top w:val="nil"/>
              <w:left w:val="nil"/>
              <w:bottom w:val="nil"/>
              <w:right w:val="nil"/>
            </w:tcBorders>
            <w:shd w:val="clear" w:color="auto" w:fill="auto"/>
            <w:noWrap/>
            <w:vAlign w:val="bottom"/>
            <w:hideMark/>
          </w:tcPr>
          <w:p w14:paraId="584D86AA"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Profit after tax</w:t>
            </w:r>
          </w:p>
        </w:tc>
        <w:tc>
          <w:tcPr>
            <w:tcW w:w="0" w:type="auto"/>
            <w:tcBorders>
              <w:top w:val="nil"/>
              <w:left w:val="nil"/>
              <w:bottom w:val="nil"/>
              <w:right w:val="nil"/>
            </w:tcBorders>
            <w:shd w:val="clear" w:color="auto" w:fill="auto"/>
            <w:noWrap/>
            <w:vAlign w:val="bottom"/>
            <w:hideMark/>
          </w:tcPr>
          <w:p w14:paraId="31341EF8"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3794E98F" w14:textId="77777777" w:rsidR="007A52A3" w:rsidRPr="00214121" w:rsidRDefault="007A52A3" w:rsidP="00214121">
            <w:pPr>
              <w:spacing w:line="360" w:lineRule="auto"/>
              <w:rPr>
                <w:rFonts w:ascii="Arial" w:hAnsi="Arial"/>
                <w:lang w:val="en-US"/>
              </w:rPr>
            </w:pPr>
          </w:p>
        </w:tc>
        <w:tc>
          <w:tcPr>
            <w:tcW w:w="0" w:type="auto"/>
            <w:tcBorders>
              <w:top w:val="single" w:sz="4" w:space="0" w:color="auto"/>
              <w:left w:val="nil"/>
              <w:bottom w:val="double" w:sz="6" w:space="0" w:color="auto"/>
              <w:right w:val="nil"/>
            </w:tcBorders>
            <w:shd w:val="clear" w:color="auto" w:fill="auto"/>
            <w:noWrap/>
            <w:vAlign w:val="bottom"/>
            <w:hideMark/>
          </w:tcPr>
          <w:p w14:paraId="66D0E824"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770,878 </w:t>
            </w:r>
          </w:p>
        </w:tc>
      </w:tr>
    </w:tbl>
    <w:p w14:paraId="3657F441" w14:textId="77777777" w:rsidR="007A52A3" w:rsidRPr="00214121" w:rsidRDefault="007A52A3" w:rsidP="00214121">
      <w:pPr>
        <w:spacing w:line="360" w:lineRule="auto"/>
        <w:rPr>
          <w:rFonts w:ascii="Arial" w:hAnsi="Arial"/>
          <w:b/>
        </w:rPr>
      </w:pPr>
    </w:p>
    <w:p w14:paraId="73799C9A" w14:textId="0E57922A" w:rsidR="007A52A3" w:rsidRPr="00214121" w:rsidRDefault="007A52A3" w:rsidP="00214121">
      <w:pPr>
        <w:pStyle w:val="Heading2"/>
        <w:spacing w:line="360" w:lineRule="auto"/>
        <w:rPr>
          <w:rFonts w:ascii="Arial" w:hAnsi="Arial"/>
          <w:sz w:val="24"/>
          <w:szCs w:val="24"/>
        </w:rPr>
      </w:pPr>
      <w:r w:rsidRPr="00214121">
        <w:rPr>
          <w:rFonts w:ascii="Arial" w:hAnsi="Arial"/>
          <w:sz w:val="24"/>
          <w:szCs w:val="24"/>
        </w:rPr>
        <w:t>Impact on prior</w:t>
      </w:r>
      <w:r w:rsidR="00130CB2">
        <w:rPr>
          <w:rFonts w:ascii="Arial" w:hAnsi="Arial"/>
          <w:sz w:val="24"/>
          <w:szCs w:val="24"/>
        </w:rPr>
        <w:t>-</w:t>
      </w:r>
      <w:r w:rsidRPr="00214121">
        <w:rPr>
          <w:rFonts w:ascii="Arial" w:hAnsi="Arial"/>
          <w:sz w:val="24"/>
          <w:szCs w:val="24"/>
        </w:rPr>
        <w:t xml:space="preserve">year profit at 30 April 2016 </w:t>
      </w:r>
    </w:p>
    <w:p w14:paraId="1B79B9B5" w14:textId="508F0729" w:rsidR="007A52A3" w:rsidRPr="00214121" w:rsidRDefault="007A52A3" w:rsidP="00214121">
      <w:pPr>
        <w:spacing w:line="360" w:lineRule="auto"/>
        <w:rPr>
          <w:rFonts w:ascii="Arial" w:hAnsi="Arial"/>
        </w:rPr>
      </w:pPr>
      <w:r w:rsidRPr="00214121">
        <w:rPr>
          <w:rFonts w:ascii="Arial" w:hAnsi="Arial"/>
        </w:rPr>
        <w:t>Profit after tax under previous UK GAAP was £756,178 and under FRS 102 is £770,878 which is an increase of £14,700</w:t>
      </w:r>
      <w:r w:rsidR="0052041D">
        <w:rPr>
          <w:rFonts w:ascii="Arial" w:hAnsi="Arial"/>
        </w:rPr>
        <w:t>,</w:t>
      </w:r>
      <w:r w:rsidRPr="00214121">
        <w:rPr>
          <w:rFonts w:ascii="Arial" w:hAnsi="Arial"/>
        </w:rPr>
        <w:t xml:space="preserve"> which is reconciled as follows:</w:t>
      </w:r>
    </w:p>
    <w:p w14:paraId="27D60EAD" w14:textId="77777777" w:rsidR="007A52A3" w:rsidRPr="00214121" w:rsidRDefault="007A52A3" w:rsidP="00214121">
      <w:pPr>
        <w:spacing w:line="360" w:lineRule="auto"/>
        <w:rPr>
          <w:rFonts w:ascii="Arial" w:hAnsi="Arial"/>
        </w:rPr>
      </w:pPr>
    </w:p>
    <w:tbl>
      <w:tblPr>
        <w:tblW w:w="0" w:type="auto"/>
        <w:tblLook w:val="04A0" w:firstRow="1" w:lastRow="0" w:firstColumn="1" w:lastColumn="0" w:noHBand="0" w:noVBand="1"/>
      </w:tblPr>
      <w:tblGrid>
        <w:gridCol w:w="1981"/>
        <w:gridCol w:w="1980"/>
        <w:gridCol w:w="1980"/>
        <w:gridCol w:w="1084"/>
      </w:tblGrid>
      <w:tr w:rsidR="007A52A3" w:rsidRPr="007A52A3" w14:paraId="52072165" w14:textId="77777777" w:rsidTr="00B9592E">
        <w:trPr>
          <w:trHeight w:val="300"/>
        </w:trPr>
        <w:tc>
          <w:tcPr>
            <w:tcW w:w="0" w:type="auto"/>
            <w:tcBorders>
              <w:top w:val="nil"/>
              <w:left w:val="nil"/>
              <w:bottom w:val="nil"/>
              <w:right w:val="nil"/>
            </w:tcBorders>
            <w:shd w:val="clear" w:color="auto" w:fill="auto"/>
            <w:noWrap/>
            <w:vAlign w:val="bottom"/>
            <w:hideMark/>
          </w:tcPr>
          <w:p w14:paraId="59FDC5FB"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77A124CB"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7C0D6E30"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2A491DC0"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w:t>
            </w:r>
          </w:p>
        </w:tc>
      </w:tr>
      <w:tr w:rsidR="007A52A3" w:rsidRPr="007A52A3" w14:paraId="53DDEB28" w14:textId="77777777" w:rsidTr="00B9592E">
        <w:trPr>
          <w:trHeight w:val="300"/>
        </w:trPr>
        <w:tc>
          <w:tcPr>
            <w:tcW w:w="0" w:type="auto"/>
            <w:gridSpan w:val="3"/>
            <w:tcBorders>
              <w:top w:val="nil"/>
              <w:left w:val="nil"/>
              <w:bottom w:val="nil"/>
              <w:right w:val="nil"/>
            </w:tcBorders>
            <w:shd w:val="clear" w:color="auto" w:fill="auto"/>
            <w:noWrap/>
            <w:vAlign w:val="bottom"/>
            <w:hideMark/>
          </w:tcPr>
          <w:p w14:paraId="769906F1"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Profit reported under previous UK GAAP </w:t>
            </w:r>
          </w:p>
        </w:tc>
        <w:tc>
          <w:tcPr>
            <w:tcW w:w="0" w:type="auto"/>
            <w:tcBorders>
              <w:top w:val="nil"/>
              <w:left w:val="nil"/>
              <w:bottom w:val="nil"/>
              <w:right w:val="nil"/>
            </w:tcBorders>
            <w:shd w:val="clear" w:color="auto" w:fill="auto"/>
            <w:noWrap/>
            <w:vAlign w:val="bottom"/>
            <w:hideMark/>
          </w:tcPr>
          <w:p w14:paraId="67AC30ED"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756,178 </w:t>
            </w:r>
          </w:p>
        </w:tc>
      </w:tr>
      <w:tr w:rsidR="007A52A3" w:rsidRPr="007A52A3" w14:paraId="4577F05E" w14:textId="77777777" w:rsidTr="00B9592E">
        <w:trPr>
          <w:trHeight w:val="300"/>
        </w:trPr>
        <w:tc>
          <w:tcPr>
            <w:tcW w:w="0" w:type="auto"/>
            <w:gridSpan w:val="3"/>
            <w:tcBorders>
              <w:top w:val="nil"/>
              <w:left w:val="nil"/>
              <w:bottom w:val="nil"/>
              <w:right w:val="nil"/>
            </w:tcBorders>
            <w:shd w:val="clear" w:color="auto" w:fill="auto"/>
            <w:noWrap/>
            <w:vAlign w:val="bottom"/>
            <w:hideMark/>
          </w:tcPr>
          <w:p w14:paraId="03934F6D"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Fair value gain on investment property </w:t>
            </w:r>
          </w:p>
        </w:tc>
        <w:tc>
          <w:tcPr>
            <w:tcW w:w="0" w:type="auto"/>
            <w:tcBorders>
              <w:top w:val="nil"/>
              <w:left w:val="nil"/>
              <w:bottom w:val="nil"/>
              <w:right w:val="nil"/>
            </w:tcBorders>
            <w:shd w:val="clear" w:color="auto" w:fill="auto"/>
            <w:noWrap/>
            <w:vAlign w:val="bottom"/>
            <w:hideMark/>
          </w:tcPr>
          <w:p w14:paraId="455ABFAC"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20,000 </w:t>
            </w:r>
          </w:p>
        </w:tc>
      </w:tr>
      <w:tr w:rsidR="007A52A3" w:rsidRPr="007A52A3" w14:paraId="531BE0EC" w14:textId="77777777" w:rsidTr="00B9592E">
        <w:trPr>
          <w:trHeight w:val="300"/>
        </w:trPr>
        <w:tc>
          <w:tcPr>
            <w:tcW w:w="0" w:type="auto"/>
            <w:gridSpan w:val="3"/>
            <w:tcBorders>
              <w:top w:val="nil"/>
              <w:left w:val="nil"/>
              <w:bottom w:val="nil"/>
              <w:right w:val="nil"/>
            </w:tcBorders>
            <w:shd w:val="clear" w:color="auto" w:fill="auto"/>
            <w:noWrap/>
            <w:vAlign w:val="bottom"/>
            <w:hideMark/>
          </w:tcPr>
          <w:p w14:paraId="254D198C"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Deferred tax on fair value gain on investment property</w:t>
            </w:r>
          </w:p>
        </w:tc>
        <w:tc>
          <w:tcPr>
            <w:tcW w:w="0" w:type="auto"/>
            <w:tcBorders>
              <w:top w:val="nil"/>
              <w:left w:val="nil"/>
              <w:bottom w:val="nil"/>
              <w:right w:val="nil"/>
            </w:tcBorders>
            <w:shd w:val="clear" w:color="auto" w:fill="auto"/>
            <w:noWrap/>
            <w:vAlign w:val="bottom"/>
            <w:hideMark/>
          </w:tcPr>
          <w:p w14:paraId="19D9C9B5"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(4,000)</w:t>
            </w:r>
          </w:p>
        </w:tc>
      </w:tr>
      <w:tr w:rsidR="007A52A3" w:rsidRPr="007A52A3" w14:paraId="5BD40A8A"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6F90921A"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Increase in holiday pay accrual </w:t>
            </w:r>
          </w:p>
        </w:tc>
        <w:tc>
          <w:tcPr>
            <w:tcW w:w="0" w:type="auto"/>
            <w:tcBorders>
              <w:top w:val="nil"/>
              <w:left w:val="nil"/>
              <w:bottom w:val="nil"/>
              <w:right w:val="nil"/>
            </w:tcBorders>
            <w:shd w:val="clear" w:color="auto" w:fill="auto"/>
            <w:noWrap/>
            <w:vAlign w:val="bottom"/>
            <w:hideMark/>
          </w:tcPr>
          <w:p w14:paraId="1841DD85"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31DBE459"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(1,300)</w:t>
            </w:r>
          </w:p>
        </w:tc>
      </w:tr>
      <w:tr w:rsidR="007A52A3" w:rsidRPr="007A52A3" w14:paraId="5506ACBA" w14:textId="77777777" w:rsidTr="00B9592E">
        <w:trPr>
          <w:trHeight w:val="320"/>
        </w:trPr>
        <w:tc>
          <w:tcPr>
            <w:tcW w:w="0" w:type="auto"/>
            <w:gridSpan w:val="2"/>
            <w:tcBorders>
              <w:top w:val="nil"/>
              <w:left w:val="nil"/>
              <w:bottom w:val="nil"/>
              <w:right w:val="nil"/>
            </w:tcBorders>
            <w:shd w:val="clear" w:color="auto" w:fill="auto"/>
            <w:noWrap/>
            <w:vAlign w:val="bottom"/>
            <w:hideMark/>
          </w:tcPr>
          <w:p w14:paraId="70A532A9"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Profit reported under FRS 102 </w:t>
            </w:r>
          </w:p>
        </w:tc>
        <w:tc>
          <w:tcPr>
            <w:tcW w:w="0" w:type="auto"/>
            <w:tcBorders>
              <w:top w:val="nil"/>
              <w:left w:val="nil"/>
              <w:bottom w:val="nil"/>
              <w:right w:val="nil"/>
            </w:tcBorders>
            <w:shd w:val="clear" w:color="auto" w:fill="auto"/>
            <w:noWrap/>
            <w:vAlign w:val="bottom"/>
            <w:hideMark/>
          </w:tcPr>
          <w:p w14:paraId="0C957821" w14:textId="77777777" w:rsidR="007A52A3" w:rsidRPr="00214121" w:rsidRDefault="007A52A3" w:rsidP="00214121">
            <w:pPr>
              <w:spacing w:line="360" w:lineRule="auto"/>
              <w:rPr>
                <w:rFonts w:ascii="Arial" w:hAnsi="Arial"/>
                <w:color w:val="000000"/>
                <w:lang w:val="en-US"/>
              </w:rPr>
            </w:pPr>
          </w:p>
        </w:tc>
        <w:tc>
          <w:tcPr>
            <w:tcW w:w="0" w:type="auto"/>
            <w:tcBorders>
              <w:top w:val="single" w:sz="4" w:space="0" w:color="auto"/>
              <w:left w:val="nil"/>
              <w:bottom w:val="double" w:sz="6" w:space="0" w:color="auto"/>
              <w:right w:val="nil"/>
            </w:tcBorders>
            <w:shd w:val="clear" w:color="auto" w:fill="auto"/>
            <w:noWrap/>
            <w:vAlign w:val="bottom"/>
            <w:hideMark/>
          </w:tcPr>
          <w:p w14:paraId="5D2E51D8"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770,878 </w:t>
            </w:r>
          </w:p>
        </w:tc>
      </w:tr>
    </w:tbl>
    <w:p w14:paraId="7C1D2C91" w14:textId="77777777" w:rsidR="007A52A3" w:rsidRPr="00214121" w:rsidRDefault="007A52A3" w:rsidP="00214121">
      <w:pPr>
        <w:spacing w:line="360" w:lineRule="auto"/>
        <w:rPr>
          <w:rFonts w:ascii="Arial" w:hAnsi="Arial"/>
        </w:rPr>
      </w:pPr>
    </w:p>
    <w:p w14:paraId="541284C7" w14:textId="77777777" w:rsidR="0052041D" w:rsidRDefault="0052041D">
      <w:pPr>
        <w:rPr>
          <w:rFonts w:ascii="Arial" w:eastAsia="MS Gothic" w:hAnsi="Arial"/>
          <w:b/>
          <w:bCs/>
          <w:i/>
          <w:iCs/>
        </w:rPr>
      </w:pPr>
      <w:r>
        <w:rPr>
          <w:rFonts w:ascii="Arial" w:hAnsi="Arial"/>
        </w:rPr>
        <w:br w:type="page"/>
      </w:r>
    </w:p>
    <w:p w14:paraId="6B143237" w14:textId="657CB303" w:rsidR="007A52A3" w:rsidRPr="00214121" w:rsidRDefault="007A52A3" w:rsidP="00214121">
      <w:pPr>
        <w:pStyle w:val="Heading2"/>
        <w:spacing w:line="360" w:lineRule="auto"/>
        <w:rPr>
          <w:rFonts w:ascii="Arial" w:hAnsi="Arial"/>
          <w:sz w:val="24"/>
          <w:szCs w:val="24"/>
        </w:rPr>
      </w:pPr>
      <w:r w:rsidRPr="00214121">
        <w:rPr>
          <w:rFonts w:ascii="Arial" w:hAnsi="Arial"/>
          <w:sz w:val="24"/>
          <w:szCs w:val="24"/>
        </w:rPr>
        <w:lastRenderedPageBreak/>
        <w:t xml:space="preserve">Impact on previously reported equity at 30 April 2016 </w:t>
      </w:r>
    </w:p>
    <w:p w14:paraId="00D756BB" w14:textId="77777777" w:rsidR="007A52A3" w:rsidRDefault="007A52A3" w:rsidP="00214121">
      <w:pPr>
        <w:spacing w:line="360" w:lineRule="auto"/>
        <w:rPr>
          <w:rFonts w:ascii="Arial" w:hAnsi="Arial"/>
        </w:rPr>
      </w:pPr>
      <w:r w:rsidRPr="00214121">
        <w:rPr>
          <w:rFonts w:ascii="Arial" w:hAnsi="Arial"/>
        </w:rPr>
        <w:t>Previously reported equity amounted to £2,554,827 and under FRS 102 is £2,525,287 giving rise to a reduction of £29,540 which is reconciled as follows:</w:t>
      </w:r>
    </w:p>
    <w:p w14:paraId="7BEC696E" w14:textId="77777777" w:rsidR="0052041D" w:rsidRPr="00214121" w:rsidRDefault="0052041D" w:rsidP="00214121">
      <w:pPr>
        <w:spacing w:line="360" w:lineRule="auto"/>
        <w:rPr>
          <w:rFonts w:ascii="Arial" w:hAnsi="Arial"/>
        </w:rPr>
      </w:pPr>
    </w:p>
    <w:tbl>
      <w:tblPr>
        <w:tblW w:w="0" w:type="auto"/>
        <w:tblLook w:val="04A0" w:firstRow="1" w:lastRow="0" w:firstColumn="1" w:lastColumn="0" w:noHBand="0" w:noVBand="1"/>
      </w:tblPr>
      <w:tblGrid>
        <w:gridCol w:w="2801"/>
        <w:gridCol w:w="2801"/>
        <w:gridCol w:w="338"/>
        <w:gridCol w:w="1378"/>
      </w:tblGrid>
      <w:tr w:rsidR="007A52A3" w:rsidRPr="007A52A3" w14:paraId="247FFF54" w14:textId="77777777" w:rsidTr="00B9592E">
        <w:trPr>
          <w:trHeight w:val="320"/>
        </w:trPr>
        <w:tc>
          <w:tcPr>
            <w:tcW w:w="0" w:type="auto"/>
            <w:tcBorders>
              <w:top w:val="nil"/>
              <w:left w:val="nil"/>
              <w:bottom w:val="nil"/>
              <w:right w:val="nil"/>
            </w:tcBorders>
            <w:shd w:val="clear" w:color="auto" w:fill="auto"/>
            <w:noWrap/>
            <w:vAlign w:val="bottom"/>
            <w:hideMark/>
          </w:tcPr>
          <w:p w14:paraId="6026E307"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4EE06BFE"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129BDC86"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0067ADB7"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w:t>
            </w:r>
          </w:p>
        </w:tc>
      </w:tr>
      <w:tr w:rsidR="007A52A3" w:rsidRPr="007A52A3" w14:paraId="63500F16"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5D72F5AF"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Equity under previous UK GAAP </w:t>
            </w:r>
          </w:p>
        </w:tc>
        <w:tc>
          <w:tcPr>
            <w:tcW w:w="0" w:type="auto"/>
            <w:tcBorders>
              <w:top w:val="nil"/>
              <w:left w:val="nil"/>
              <w:bottom w:val="nil"/>
              <w:right w:val="nil"/>
            </w:tcBorders>
            <w:shd w:val="clear" w:color="auto" w:fill="auto"/>
            <w:noWrap/>
            <w:vAlign w:val="bottom"/>
            <w:hideMark/>
          </w:tcPr>
          <w:p w14:paraId="1E481D55"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4F9A08CA"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2,554,827* </w:t>
            </w:r>
          </w:p>
        </w:tc>
      </w:tr>
      <w:tr w:rsidR="007A52A3" w:rsidRPr="007A52A3" w14:paraId="46A9CD01" w14:textId="77777777" w:rsidTr="00B9592E">
        <w:trPr>
          <w:trHeight w:val="300"/>
        </w:trPr>
        <w:tc>
          <w:tcPr>
            <w:tcW w:w="0" w:type="auto"/>
            <w:gridSpan w:val="3"/>
            <w:tcBorders>
              <w:top w:val="nil"/>
              <w:left w:val="nil"/>
              <w:bottom w:val="nil"/>
              <w:right w:val="nil"/>
            </w:tcBorders>
            <w:shd w:val="clear" w:color="auto" w:fill="auto"/>
            <w:noWrap/>
            <w:vAlign w:val="bottom"/>
            <w:hideMark/>
          </w:tcPr>
          <w:p w14:paraId="115FB9CE"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Holiday pay accrual to 30 April 2016 </w:t>
            </w:r>
          </w:p>
        </w:tc>
        <w:tc>
          <w:tcPr>
            <w:tcW w:w="0" w:type="auto"/>
            <w:tcBorders>
              <w:top w:val="nil"/>
              <w:left w:val="nil"/>
              <w:bottom w:val="nil"/>
              <w:right w:val="nil"/>
            </w:tcBorders>
            <w:shd w:val="clear" w:color="auto" w:fill="auto"/>
            <w:noWrap/>
            <w:vAlign w:val="bottom"/>
            <w:hideMark/>
          </w:tcPr>
          <w:p w14:paraId="2067BC26"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(8,500)</w:t>
            </w:r>
          </w:p>
        </w:tc>
      </w:tr>
      <w:tr w:rsidR="007A52A3" w:rsidRPr="007A52A3" w14:paraId="0CA1DD1C" w14:textId="77777777" w:rsidTr="00B9592E">
        <w:trPr>
          <w:trHeight w:val="300"/>
        </w:trPr>
        <w:tc>
          <w:tcPr>
            <w:tcW w:w="0" w:type="auto"/>
            <w:gridSpan w:val="3"/>
            <w:tcBorders>
              <w:top w:val="nil"/>
              <w:left w:val="nil"/>
              <w:bottom w:val="nil"/>
              <w:right w:val="nil"/>
            </w:tcBorders>
            <w:shd w:val="clear" w:color="auto" w:fill="auto"/>
            <w:noWrap/>
            <w:vAlign w:val="bottom"/>
            <w:hideMark/>
          </w:tcPr>
          <w:p w14:paraId="7B2A78F9"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Deferred tax on fair value gain on investment property</w:t>
            </w:r>
          </w:p>
        </w:tc>
        <w:tc>
          <w:tcPr>
            <w:tcW w:w="0" w:type="auto"/>
            <w:tcBorders>
              <w:top w:val="nil"/>
              <w:left w:val="nil"/>
              <w:bottom w:val="nil"/>
              <w:right w:val="nil"/>
            </w:tcBorders>
            <w:shd w:val="clear" w:color="auto" w:fill="auto"/>
            <w:noWrap/>
            <w:vAlign w:val="bottom"/>
            <w:hideMark/>
          </w:tcPr>
          <w:p w14:paraId="276FF1F4"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(21,040)</w:t>
            </w:r>
          </w:p>
        </w:tc>
      </w:tr>
      <w:tr w:rsidR="007A52A3" w:rsidRPr="007A52A3" w14:paraId="32D9B53B" w14:textId="77777777" w:rsidTr="00B9592E">
        <w:trPr>
          <w:trHeight w:val="320"/>
        </w:trPr>
        <w:tc>
          <w:tcPr>
            <w:tcW w:w="0" w:type="auto"/>
            <w:gridSpan w:val="2"/>
            <w:tcBorders>
              <w:top w:val="nil"/>
              <w:left w:val="nil"/>
              <w:bottom w:val="nil"/>
              <w:right w:val="nil"/>
            </w:tcBorders>
            <w:shd w:val="clear" w:color="auto" w:fill="auto"/>
            <w:noWrap/>
            <w:vAlign w:val="bottom"/>
            <w:hideMark/>
          </w:tcPr>
          <w:p w14:paraId="38AC28E1"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Equity under FRS 102 </w:t>
            </w:r>
          </w:p>
        </w:tc>
        <w:tc>
          <w:tcPr>
            <w:tcW w:w="0" w:type="auto"/>
            <w:tcBorders>
              <w:top w:val="nil"/>
              <w:left w:val="nil"/>
              <w:bottom w:val="nil"/>
              <w:right w:val="nil"/>
            </w:tcBorders>
            <w:shd w:val="clear" w:color="auto" w:fill="auto"/>
            <w:noWrap/>
            <w:vAlign w:val="bottom"/>
            <w:hideMark/>
          </w:tcPr>
          <w:p w14:paraId="3FA911EF" w14:textId="77777777" w:rsidR="007A52A3" w:rsidRPr="00214121" w:rsidRDefault="007A52A3" w:rsidP="00214121">
            <w:pPr>
              <w:spacing w:line="360" w:lineRule="auto"/>
              <w:rPr>
                <w:rFonts w:ascii="Arial" w:hAnsi="Arial"/>
                <w:color w:val="000000"/>
                <w:lang w:val="en-US"/>
              </w:rPr>
            </w:pPr>
          </w:p>
        </w:tc>
        <w:tc>
          <w:tcPr>
            <w:tcW w:w="0" w:type="auto"/>
            <w:tcBorders>
              <w:top w:val="single" w:sz="4" w:space="0" w:color="auto"/>
              <w:left w:val="nil"/>
              <w:bottom w:val="double" w:sz="6" w:space="0" w:color="auto"/>
              <w:right w:val="nil"/>
            </w:tcBorders>
            <w:shd w:val="clear" w:color="auto" w:fill="auto"/>
            <w:noWrap/>
            <w:vAlign w:val="bottom"/>
            <w:hideMark/>
          </w:tcPr>
          <w:p w14:paraId="5421E1A1"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2,525,287 </w:t>
            </w:r>
          </w:p>
        </w:tc>
      </w:tr>
    </w:tbl>
    <w:p w14:paraId="650A66CF" w14:textId="77777777" w:rsidR="007A52A3" w:rsidRPr="00214121" w:rsidRDefault="007A52A3" w:rsidP="00214121">
      <w:pPr>
        <w:spacing w:line="360" w:lineRule="auto"/>
        <w:rPr>
          <w:rFonts w:ascii="Arial" w:hAnsi="Arial"/>
        </w:rPr>
      </w:pPr>
    </w:p>
    <w:tbl>
      <w:tblPr>
        <w:tblW w:w="0" w:type="auto"/>
        <w:tblLook w:val="04A0" w:firstRow="1" w:lastRow="0" w:firstColumn="1" w:lastColumn="0" w:noHBand="0" w:noVBand="1"/>
      </w:tblPr>
      <w:tblGrid>
        <w:gridCol w:w="4856"/>
        <w:gridCol w:w="275"/>
        <w:gridCol w:w="275"/>
        <w:gridCol w:w="1932"/>
      </w:tblGrid>
      <w:tr w:rsidR="007A52A3" w:rsidRPr="007A52A3" w14:paraId="57750C64" w14:textId="77777777" w:rsidTr="00214121">
        <w:trPr>
          <w:trHeight w:val="300"/>
        </w:trPr>
        <w:tc>
          <w:tcPr>
            <w:tcW w:w="0" w:type="auto"/>
            <w:gridSpan w:val="2"/>
            <w:tcBorders>
              <w:top w:val="nil"/>
              <w:left w:val="nil"/>
              <w:bottom w:val="nil"/>
              <w:right w:val="nil"/>
            </w:tcBorders>
            <w:shd w:val="clear" w:color="auto" w:fill="auto"/>
            <w:noWrap/>
            <w:vAlign w:val="bottom"/>
            <w:hideMark/>
          </w:tcPr>
          <w:p w14:paraId="5B16ECE3"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*As per previous UK GAAP:</w:t>
            </w:r>
          </w:p>
        </w:tc>
        <w:tc>
          <w:tcPr>
            <w:tcW w:w="0" w:type="auto"/>
            <w:tcBorders>
              <w:top w:val="nil"/>
              <w:left w:val="nil"/>
              <w:bottom w:val="nil"/>
              <w:right w:val="nil"/>
            </w:tcBorders>
            <w:shd w:val="clear" w:color="auto" w:fill="auto"/>
            <w:noWrap/>
            <w:vAlign w:val="bottom"/>
            <w:hideMark/>
          </w:tcPr>
          <w:p w14:paraId="198AAA91" w14:textId="77777777" w:rsidR="007A52A3" w:rsidRPr="00214121" w:rsidRDefault="007A52A3" w:rsidP="00214121">
            <w:pPr>
              <w:spacing w:line="360" w:lineRule="auto"/>
              <w:rPr>
                <w:rFonts w:ascii="Arial" w:hAnsi="Arial"/>
                <w:color w:val="000000"/>
                <w:lang w:val="en-US"/>
              </w:rPr>
            </w:pPr>
          </w:p>
        </w:tc>
        <w:tc>
          <w:tcPr>
            <w:tcW w:w="1932" w:type="dxa"/>
            <w:tcBorders>
              <w:top w:val="nil"/>
              <w:left w:val="nil"/>
              <w:bottom w:val="nil"/>
              <w:right w:val="nil"/>
            </w:tcBorders>
            <w:shd w:val="clear" w:color="auto" w:fill="auto"/>
            <w:noWrap/>
            <w:vAlign w:val="bottom"/>
            <w:hideMark/>
          </w:tcPr>
          <w:p w14:paraId="77BE37F1"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w:t>
            </w:r>
          </w:p>
        </w:tc>
      </w:tr>
      <w:tr w:rsidR="007A52A3" w:rsidRPr="007A52A3" w14:paraId="0A782ADC" w14:textId="77777777" w:rsidTr="00214121">
        <w:trPr>
          <w:trHeight w:val="300"/>
        </w:trPr>
        <w:tc>
          <w:tcPr>
            <w:tcW w:w="0" w:type="auto"/>
            <w:tcBorders>
              <w:top w:val="nil"/>
              <w:left w:val="nil"/>
              <w:bottom w:val="nil"/>
              <w:right w:val="nil"/>
            </w:tcBorders>
            <w:shd w:val="clear" w:color="auto" w:fill="auto"/>
            <w:noWrap/>
            <w:vAlign w:val="bottom"/>
            <w:hideMark/>
          </w:tcPr>
          <w:p w14:paraId="40692B46"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Share capital </w:t>
            </w:r>
          </w:p>
        </w:tc>
        <w:tc>
          <w:tcPr>
            <w:tcW w:w="0" w:type="auto"/>
            <w:tcBorders>
              <w:top w:val="nil"/>
              <w:left w:val="nil"/>
              <w:bottom w:val="nil"/>
              <w:right w:val="nil"/>
            </w:tcBorders>
            <w:shd w:val="clear" w:color="auto" w:fill="auto"/>
            <w:noWrap/>
            <w:vAlign w:val="bottom"/>
            <w:hideMark/>
          </w:tcPr>
          <w:p w14:paraId="1DADF931" w14:textId="77777777" w:rsidR="007A52A3" w:rsidRPr="00214121" w:rsidRDefault="007A52A3" w:rsidP="00214121">
            <w:pPr>
              <w:spacing w:line="360" w:lineRule="auto"/>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363DA1B2" w14:textId="77777777" w:rsidR="007A52A3" w:rsidRPr="00214121" w:rsidRDefault="007A52A3" w:rsidP="00214121">
            <w:pPr>
              <w:spacing w:line="360" w:lineRule="auto"/>
              <w:rPr>
                <w:rFonts w:ascii="Arial" w:hAnsi="Arial"/>
                <w:lang w:val="en-US"/>
              </w:rPr>
            </w:pPr>
          </w:p>
        </w:tc>
        <w:tc>
          <w:tcPr>
            <w:tcW w:w="1932" w:type="dxa"/>
            <w:tcBorders>
              <w:top w:val="nil"/>
              <w:left w:val="nil"/>
              <w:bottom w:val="nil"/>
              <w:right w:val="nil"/>
            </w:tcBorders>
            <w:shd w:val="clear" w:color="auto" w:fill="auto"/>
            <w:noWrap/>
            <w:vAlign w:val="bottom"/>
            <w:hideMark/>
          </w:tcPr>
          <w:p w14:paraId="7570FBC8"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100 </w:t>
            </w:r>
          </w:p>
        </w:tc>
      </w:tr>
      <w:tr w:rsidR="007A52A3" w:rsidRPr="007A52A3" w14:paraId="0630D4E7" w14:textId="77777777" w:rsidTr="00214121">
        <w:trPr>
          <w:trHeight w:val="300"/>
        </w:trPr>
        <w:tc>
          <w:tcPr>
            <w:tcW w:w="0" w:type="auto"/>
            <w:gridSpan w:val="3"/>
            <w:tcBorders>
              <w:top w:val="nil"/>
              <w:left w:val="nil"/>
              <w:bottom w:val="nil"/>
              <w:right w:val="nil"/>
            </w:tcBorders>
            <w:shd w:val="clear" w:color="auto" w:fill="auto"/>
            <w:noWrap/>
            <w:vAlign w:val="bottom"/>
            <w:hideMark/>
          </w:tcPr>
          <w:p w14:paraId="3F10EF7F"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Revaluation reserve (85,200 + 20,000)</w:t>
            </w:r>
          </w:p>
        </w:tc>
        <w:tc>
          <w:tcPr>
            <w:tcW w:w="1932" w:type="dxa"/>
            <w:tcBorders>
              <w:top w:val="nil"/>
              <w:left w:val="nil"/>
              <w:bottom w:val="nil"/>
              <w:right w:val="nil"/>
            </w:tcBorders>
            <w:shd w:val="clear" w:color="auto" w:fill="auto"/>
            <w:noWrap/>
            <w:vAlign w:val="bottom"/>
            <w:hideMark/>
          </w:tcPr>
          <w:p w14:paraId="07C0B01C"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105,200 </w:t>
            </w:r>
          </w:p>
        </w:tc>
      </w:tr>
      <w:tr w:rsidR="007A52A3" w:rsidRPr="007A52A3" w14:paraId="29A01B88" w14:textId="77777777" w:rsidTr="00214121">
        <w:trPr>
          <w:trHeight w:val="300"/>
        </w:trPr>
        <w:tc>
          <w:tcPr>
            <w:tcW w:w="0" w:type="auto"/>
            <w:gridSpan w:val="2"/>
            <w:tcBorders>
              <w:top w:val="nil"/>
              <w:left w:val="nil"/>
              <w:bottom w:val="nil"/>
              <w:right w:val="nil"/>
            </w:tcBorders>
            <w:shd w:val="clear" w:color="auto" w:fill="auto"/>
            <w:noWrap/>
            <w:vAlign w:val="bottom"/>
            <w:hideMark/>
          </w:tcPr>
          <w:p w14:paraId="1A645446"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Profit and loss account reserve </w:t>
            </w:r>
          </w:p>
        </w:tc>
        <w:tc>
          <w:tcPr>
            <w:tcW w:w="0" w:type="auto"/>
            <w:tcBorders>
              <w:top w:val="nil"/>
              <w:left w:val="nil"/>
              <w:bottom w:val="nil"/>
              <w:right w:val="nil"/>
            </w:tcBorders>
            <w:shd w:val="clear" w:color="auto" w:fill="auto"/>
            <w:noWrap/>
            <w:vAlign w:val="bottom"/>
            <w:hideMark/>
          </w:tcPr>
          <w:p w14:paraId="1601B74E" w14:textId="77777777" w:rsidR="007A52A3" w:rsidRPr="00214121" w:rsidRDefault="007A52A3" w:rsidP="00214121">
            <w:pPr>
              <w:spacing w:line="360" w:lineRule="auto"/>
              <w:rPr>
                <w:rFonts w:ascii="Arial" w:hAnsi="Arial"/>
                <w:color w:val="000000"/>
                <w:lang w:val="en-US"/>
              </w:rPr>
            </w:pPr>
          </w:p>
        </w:tc>
        <w:tc>
          <w:tcPr>
            <w:tcW w:w="1932" w:type="dxa"/>
            <w:tcBorders>
              <w:top w:val="nil"/>
              <w:left w:val="nil"/>
              <w:bottom w:val="nil"/>
              <w:right w:val="nil"/>
            </w:tcBorders>
            <w:shd w:val="clear" w:color="auto" w:fill="auto"/>
            <w:noWrap/>
            <w:vAlign w:val="bottom"/>
            <w:hideMark/>
          </w:tcPr>
          <w:p w14:paraId="5AE1F5D0"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1,693,349 </w:t>
            </w:r>
          </w:p>
        </w:tc>
      </w:tr>
      <w:tr w:rsidR="007A52A3" w:rsidRPr="007A52A3" w14:paraId="68432CDD" w14:textId="77777777" w:rsidTr="00214121">
        <w:trPr>
          <w:trHeight w:val="300"/>
        </w:trPr>
        <w:tc>
          <w:tcPr>
            <w:tcW w:w="0" w:type="auto"/>
            <w:gridSpan w:val="3"/>
            <w:tcBorders>
              <w:top w:val="nil"/>
              <w:left w:val="nil"/>
              <w:bottom w:val="nil"/>
              <w:right w:val="nil"/>
            </w:tcBorders>
            <w:shd w:val="clear" w:color="auto" w:fill="auto"/>
            <w:noWrap/>
            <w:vAlign w:val="bottom"/>
            <w:hideMark/>
          </w:tcPr>
          <w:p w14:paraId="7E4D0A9E"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Profit after tax under previous UK GAAP </w:t>
            </w:r>
          </w:p>
        </w:tc>
        <w:tc>
          <w:tcPr>
            <w:tcW w:w="1932" w:type="dxa"/>
            <w:tcBorders>
              <w:top w:val="nil"/>
              <w:left w:val="nil"/>
              <w:bottom w:val="single" w:sz="4" w:space="0" w:color="auto"/>
              <w:right w:val="nil"/>
            </w:tcBorders>
            <w:shd w:val="clear" w:color="auto" w:fill="auto"/>
            <w:noWrap/>
            <w:vAlign w:val="bottom"/>
            <w:hideMark/>
          </w:tcPr>
          <w:p w14:paraId="6C9D43E9"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756,178 </w:t>
            </w:r>
          </w:p>
        </w:tc>
      </w:tr>
      <w:tr w:rsidR="007A52A3" w:rsidRPr="007A52A3" w14:paraId="55CDC43F" w14:textId="77777777" w:rsidTr="00214121">
        <w:trPr>
          <w:trHeight w:val="300"/>
        </w:trPr>
        <w:tc>
          <w:tcPr>
            <w:tcW w:w="0" w:type="auto"/>
            <w:tcBorders>
              <w:top w:val="nil"/>
              <w:left w:val="nil"/>
              <w:bottom w:val="nil"/>
              <w:right w:val="nil"/>
            </w:tcBorders>
            <w:shd w:val="clear" w:color="auto" w:fill="auto"/>
            <w:noWrap/>
            <w:vAlign w:val="bottom"/>
            <w:hideMark/>
          </w:tcPr>
          <w:p w14:paraId="741D17CA" w14:textId="77777777" w:rsidR="007A52A3" w:rsidRPr="00214121" w:rsidRDefault="007A52A3" w:rsidP="00214121">
            <w:pPr>
              <w:spacing w:line="360" w:lineRule="auto"/>
              <w:rPr>
                <w:rFonts w:ascii="Arial" w:hAnsi="Arial"/>
                <w:b/>
                <w:color w:val="000000"/>
                <w:lang w:val="en-US"/>
              </w:rPr>
            </w:pPr>
            <w:r w:rsidRPr="00214121">
              <w:rPr>
                <w:rFonts w:ascii="Arial" w:hAnsi="Arial"/>
                <w:b/>
                <w:color w:val="000000"/>
                <w:lang w:val="en-US"/>
              </w:rPr>
              <w:t>Equity under previous UK GAAP</w:t>
            </w:r>
          </w:p>
        </w:tc>
        <w:tc>
          <w:tcPr>
            <w:tcW w:w="0" w:type="auto"/>
            <w:tcBorders>
              <w:top w:val="nil"/>
              <w:left w:val="nil"/>
              <w:bottom w:val="nil"/>
              <w:right w:val="nil"/>
            </w:tcBorders>
            <w:shd w:val="clear" w:color="auto" w:fill="auto"/>
            <w:noWrap/>
            <w:vAlign w:val="bottom"/>
            <w:hideMark/>
          </w:tcPr>
          <w:p w14:paraId="1B2683BE" w14:textId="77777777" w:rsidR="007A52A3" w:rsidRPr="00214121" w:rsidRDefault="007A52A3" w:rsidP="00214121">
            <w:pPr>
              <w:spacing w:line="360" w:lineRule="auto"/>
              <w:rPr>
                <w:rFonts w:ascii="Arial" w:hAnsi="Arial"/>
                <w:lang w:val="en-US"/>
              </w:rPr>
            </w:pPr>
          </w:p>
        </w:tc>
        <w:tc>
          <w:tcPr>
            <w:tcW w:w="0" w:type="auto"/>
            <w:tcBorders>
              <w:top w:val="nil"/>
              <w:left w:val="nil"/>
              <w:bottom w:val="nil"/>
              <w:right w:val="nil"/>
            </w:tcBorders>
            <w:shd w:val="clear" w:color="auto" w:fill="auto"/>
            <w:noWrap/>
            <w:vAlign w:val="bottom"/>
            <w:hideMark/>
          </w:tcPr>
          <w:p w14:paraId="2F98BE1B" w14:textId="77777777" w:rsidR="007A52A3" w:rsidRPr="00214121" w:rsidRDefault="007A52A3" w:rsidP="00214121">
            <w:pPr>
              <w:spacing w:line="360" w:lineRule="auto"/>
              <w:rPr>
                <w:rFonts w:ascii="Arial" w:hAnsi="Arial"/>
                <w:lang w:val="en-US"/>
              </w:rPr>
            </w:pPr>
          </w:p>
        </w:tc>
        <w:tc>
          <w:tcPr>
            <w:tcW w:w="1932" w:type="dxa"/>
            <w:tcBorders>
              <w:top w:val="nil"/>
              <w:left w:val="nil"/>
              <w:bottom w:val="nil"/>
              <w:right w:val="nil"/>
            </w:tcBorders>
            <w:shd w:val="clear" w:color="auto" w:fill="auto"/>
            <w:noWrap/>
            <w:vAlign w:val="bottom"/>
            <w:hideMark/>
          </w:tcPr>
          <w:p w14:paraId="11C1E07D"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2,554,827 </w:t>
            </w:r>
          </w:p>
        </w:tc>
      </w:tr>
      <w:tr w:rsidR="007A52A3" w:rsidRPr="007A52A3" w14:paraId="6440149F" w14:textId="77777777" w:rsidTr="00214121">
        <w:trPr>
          <w:trHeight w:val="300"/>
        </w:trPr>
        <w:tc>
          <w:tcPr>
            <w:tcW w:w="0" w:type="auto"/>
            <w:gridSpan w:val="2"/>
            <w:tcBorders>
              <w:top w:val="nil"/>
              <w:left w:val="nil"/>
              <w:bottom w:val="nil"/>
              <w:right w:val="nil"/>
            </w:tcBorders>
            <w:shd w:val="clear" w:color="auto" w:fill="auto"/>
            <w:noWrap/>
            <w:vAlign w:val="bottom"/>
            <w:hideMark/>
          </w:tcPr>
          <w:p w14:paraId="51EE7E80"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Holiday pay accrual </w:t>
            </w:r>
          </w:p>
        </w:tc>
        <w:tc>
          <w:tcPr>
            <w:tcW w:w="0" w:type="auto"/>
            <w:tcBorders>
              <w:top w:val="nil"/>
              <w:left w:val="nil"/>
              <w:bottom w:val="nil"/>
              <w:right w:val="nil"/>
            </w:tcBorders>
            <w:shd w:val="clear" w:color="auto" w:fill="auto"/>
            <w:noWrap/>
            <w:vAlign w:val="bottom"/>
            <w:hideMark/>
          </w:tcPr>
          <w:p w14:paraId="4577D7A1" w14:textId="77777777" w:rsidR="007A52A3" w:rsidRPr="00214121" w:rsidRDefault="007A52A3" w:rsidP="00214121">
            <w:pPr>
              <w:spacing w:line="360" w:lineRule="auto"/>
              <w:rPr>
                <w:rFonts w:ascii="Arial" w:hAnsi="Arial"/>
                <w:color w:val="000000"/>
                <w:lang w:val="en-US"/>
              </w:rPr>
            </w:pPr>
          </w:p>
        </w:tc>
        <w:tc>
          <w:tcPr>
            <w:tcW w:w="1932" w:type="dxa"/>
            <w:tcBorders>
              <w:top w:val="nil"/>
              <w:left w:val="nil"/>
              <w:bottom w:val="nil"/>
              <w:right w:val="nil"/>
            </w:tcBorders>
            <w:shd w:val="clear" w:color="auto" w:fill="auto"/>
            <w:noWrap/>
            <w:vAlign w:val="bottom"/>
            <w:hideMark/>
          </w:tcPr>
          <w:p w14:paraId="2198213E"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(8,500)</w:t>
            </w:r>
          </w:p>
        </w:tc>
      </w:tr>
      <w:tr w:rsidR="007A52A3" w:rsidRPr="007A52A3" w14:paraId="107847F3" w14:textId="77777777" w:rsidTr="00214121">
        <w:trPr>
          <w:trHeight w:val="300"/>
        </w:trPr>
        <w:tc>
          <w:tcPr>
            <w:tcW w:w="0" w:type="auto"/>
            <w:gridSpan w:val="3"/>
            <w:tcBorders>
              <w:top w:val="nil"/>
              <w:left w:val="nil"/>
              <w:bottom w:val="nil"/>
              <w:right w:val="nil"/>
            </w:tcBorders>
            <w:shd w:val="clear" w:color="auto" w:fill="auto"/>
            <w:noWrap/>
            <w:vAlign w:val="bottom"/>
            <w:hideMark/>
          </w:tcPr>
          <w:p w14:paraId="09641472" w14:textId="77777777" w:rsidR="007A52A3" w:rsidRPr="00214121" w:rsidRDefault="007A52A3" w:rsidP="00214121">
            <w:pPr>
              <w:spacing w:line="360" w:lineRule="auto"/>
              <w:rPr>
                <w:rFonts w:ascii="Arial" w:hAnsi="Arial"/>
                <w:color w:val="000000"/>
                <w:lang w:val="en-US"/>
              </w:rPr>
            </w:pPr>
            <w:r w:rsidRPr="00214121">
              <w:rPr>
                <w:rFonts w:ascii="Arial" w:hAnsi="Arial"/>
                <w:color w:val="000000"/>
                <w:lang w:val="en-US"/>
              </w:rPr>
              <w:t xml:space="preserve">Deferred tax on investment property revaluations </w:t>
            </w:r>
          </w:p>
        </w:tc>
        <w:tc>
          <w:tcPr>
            <w:tcW w:w="1932" w:type="dxa"/>
            <w:tcBorders>
              <w:top w:val="nil"/>
              <w:left w:val="nil"/>
              <w:bottom w:val="nil"/>
              <w:right w:val="nil"/>
            </w:tcBorders>
            <w:shd w:val="clear" w:color="auto" w:fill="auto"/>
            <w:noWrap/>
            <w:vAlign w:val="bottom"/>
            <w:hideMark/>
          </w:tcPr>
          <w:p w14:paraId="5F71167B"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(21,040)</w:t>
            </w:r>
          </w:p>
        </w:tc>
      </w:tr>
      <w:tr w:rsidR="007A52A3" w:rsidRPr="007A52A3" w14:paraId="46BB4012" w14:textId="77777777" w:rsidTr="00214121">
        <w:trPr>
          <w:trHeight w:val="320"/>
        </w:trPr>
        <w:tc>
          <w:tcPr>
            <w:tcW w:w="0" w:type="auto"/>
            <w:gridSpan w:val="3"/>
            <w:tcBorders>
              <w:top w:val="nil"/>
              <w:left w:val="nil"/>
              <w:bottom w:val="nil"/>
              <w:right w:val="nil"/>
            </w:tcBorders>
            <w:shd w:val="clear" w:color="auto" w:fill="auto"/>
            <w:noWrap/>
            <w:vAlign w:val="bottom"/>
            <w:hideMark/>
          </w:tcPr>
          <w:p w14:paraId="716CF1E4" w14:textId="77777777" w:rsidR="007A52A3" w:rsidRPr="00214121" w:rsidRDefault="007A52A3" w:rsidP="00214121">
            <w:pPr>
              <w:spacing w:line="360" w:lineRule="auto"/>
              <w:rPr>
                <w:rFonts w:ascii="Arial" w:hAnsi="Arial"/>
                <w:b/>
                <w:color w:val="000000"/>
                <w:lang w:val="en-US"/>
              </w:rPr>
            </w:pPr>
            <w:r w:rsidRPr="00214121">
              <w:rPr>
                <w:rFonts w:ascii="Arial" w:hAnsi="Arial"/>
                <w:b/>
                <w:color w:val="000000"/>
                <w:lang w:val="en-US"/>
              </w:rPr>
              <w:t xml:space="preserve">Equity at 30 April 2016 under FRS 102 </w:t>
            </w:r>
          </w:p>
        </w:tc>
        <w:tc>
          <w:tcPr>
            <w:tcW w:w="1932" w:type="dxa"/>
            <w:tcBorders>
              <w:top w:val="single" w:sz="4" w:space="0" w:color="auto"/>
              <w:left w:val="nil"/>
              <w:bottom w:val="double" w:sz="6" w:space="0" w:color="auto"/>
              <w:right w:val="nil"/>
            </w:tcBorders>
            <w:shd w:val="clear" w:color="auto" w:fill="auto"/>
            <w:noWrap/>
            <w:vAlign w:val="bottom"/>
            <w:hideMark/>
          </w:tcPr>
          <w:p w14:paraId="7B88B601" w14:textId="77777777" w:rsidR="007A52A3" w:rsidRPr="00214121" w:rsidRDefault="007A52A3" w:rsidP="00214121">
            <w:pPr>
              <w:spacing w:line="360" w:lineRule="auto"/>
              <w:jc w:val="right"/>
              <w:rPr>
                <w:rFonts w:ascii="Arial" w:hAnsi="Arial"/>
                <w:color w:val="000000"/>
                <w:lang w:val="en-US"/>
              </w:rPr>
            </w:pPr>
            <w:r w:rsidRPr="00214121">
              <w:rPr>
                <w:rFonts w:ascii="Arial" w:hAnsi="Arial"/>
                <w:color w:val="000000"/>
                <w:lang w:val="en-US"/>
              </w:rPr>
              <w:t xml:space="preserve">2,525,287 </w:t>
            </w:r>
          </w:p>
        </w:tc>
      </w:tr>
    </w:tbl>
    <w:p w14:paraId="1895C82F" w14:textId="77777777" w:rsidR="007A52A3" w:rsidRDefault="007A52A3" w:rsidP="00214121">
      <w:pPr>
        <w:spacing w:line="360" w:lineRule="auto"/>
        <w:rPr>
          <w:rFonts w:ascii="Arial" w:hAnsi="Arial"/>
        </w:rPr>
      </w:pPr>
    </w:p>
    <w:p w14:paraId="37959E04" w14:textId="77777777" w:rsidR="0052041D" w:rsidRPr="00214121" w:rsidRDefault="0052041D" w:rsidP="00214121">
      <w:pPr>
        <w:spacing w:line="360" w:lineRule="auto"/>
        <w:rPr>
          <w:rFonts w:ascii="Arial" w:hAnsi="Arial"/>
        </w:rPr>
      </w:pPr>
    </w:p>
    <w:p w14:paraId="7D4D7827" w14:textId="01DBDF71" w:rsidR="007A52A3" w:rsidRPr="00214121" w:rsidRDefault="007A52A3" w:rsidP="00214121">
      <w:pPr>
        <w:pStyle w:val="Heading1"/>
        <w:spacing w:line="360" w:lineRule="auto"/>
        <w:rPr>
          <w:rFonts w:ascii="Arial" w:hAnsi="Arial"/>
          <w:caps/>
        </w:rPr>
      </w:pPr>
      <w:r w:rsidRPr="00214121">
        <w:rPr>
          <w:rFonts w:ascii="Arial" w:hAnsi="Arial"/>
          <w:caps/>
        </w:rPr>
        <w:t>Disclosure requirements</w:t>
      </w:r>
    </w:p>
    <w:p w14:paraId="594C1439" w14:textId="13A52DD1" w:rsidR="007A52A3" w:rsidRPr="00214121" w:rsidRDefault="007A52A3" w:rsidP="00214121">
      <w:pPr>
        <w:spacing w:line="360" w:lineRule="auto"/>
        <w:rPr>
          <w:rFonts w:ascii="Arial" w:hAnsi="Arial"/>
        </w:rPr>
      </w:pPr>
      <w:r w:rsidRPr="00214121">
        <w:rPr>
          <w:rFonts w:ascii="Arial" w:hAnsi="Arial"/>
        </w:rPr>
        <w:t xml:space="preserve">The requirement to disclose transitional information is an encouraged disclosure in </w:t>
      </w:r>
      <w:r w:rsidR="007D1315">
        <w:rPr>
          <w:rFonts w:ascii="Arial" w:hAnsi="Arial"/>
        </w:rPr>
        <w:t>s</w:t>
      </w:r>
      <w:r w:rsidRPr="00214121">
        <w:rPr>
          <w:rFonts w:ascii="Arial" w:hAnsi="Arial"/>
        </w:rPr>
        <w:t>ection 1A of FRS 102</w:t>
      </w:r>
      <w:r w:rsidR="003E02D8">
        <w:rPr>
          <w:rFonts w:ascii="Arial" w:hAnsi="Arial"/>
        </w:rPr>
        <w:t>,</w:t>
      </w:r>
      <w:r w:rsidRPr="00214121">
        <w:rPr>
          <w:rFonts w:ascii="Arial" w:hAnsi="Arial"/>
        </w:rPr>
        <w:t xml:space="preserve"> and small entities are strongly advised to make the disclosures if there has been a material impact on the financial performance and position of the entity as a result of the transition to FRS 102.</w:t>
      </w:r>
      <w:r>
        <w:rPr>
          <w:rFonts w:ascii="Arial" w:hAnsi="Arial"/>
        </w:rPr>
        <w:t xml:space="preserve"> </w:t>
      </w:r>
      <w:r w:rsidRPr="00214121">
        <w:rPr>
          <w:rFonts w:ascii="Arial" w:hAnsi="Arial"/>
        </w:rPr>
        <w:t>Where the disclosures are being made by the small entity, they should comply with the requirements of paragraphs 35.12 to 35.15</w:t>
      </w:r>
      <w:r w:rsidR="003E02D8">
        <w:rPr>
          <w:rFonts w:ascii="Arial" w:hAnsi="Arial"/>
        </w:rPr>
        <w:t>,</w:t>
      </w:r>
      <w:r w:rsidRPr="00214121">
        <w:rPr>
          <w:rFonts w:ascii="Arial" w:hAnsi="Arial"/>
        </w:rPr>
        <w:t xml:space="preserve"> which are split into two parts: explanations and reconciliations.</w:t>
      </w:r>
    </w:p>
    <w:p w14:paraId="56B0C40B" w14:textId="77777777" w:rsidR="007A52A3" w:rsidRPr="00214121" w:rsidRDefault="007A52A3" w:rsidP="00214121">
      <w:pPr>
        <w:pStyle w:val="Heading2"/>
        <w:spacing w:line="360" w:lineRule="auto"/>
        <w:rPr>
          <w:rFonts w:ascii="Arial" w:hAnsi="Arial"/>
          <w:i w:val="0"/>
          <w:sz w:val="24"/>
          <w:szCs w:val="24"/>
        </w:rPr>
      </w:pPr>
      <w:r w:rsidRPr="00214121">
        <w:rPr>
          <w:rFonts w:ascii="Arial" w:hAnsi="Arial"/>
          <w:i w:val="0"/>
          <w:sz w:val="24"/>
          <w:szCs w:val="24"/>
        </w:rPr>
        <w:t>Explanations</w:t>
      </w:r>
    </w:p>
    <w:p w14:paraId="565DC511" w14:textId="5A709E47" w:rsidR="007A52A3" w:rsidRPr="00214121" w:rsidRDefault="007A52A3" w:rsidP="00214121">
      <w:pPr>
        <w:spacing w:line="360" w:lineRule="auto"/>
        <w:rPr>
          <w:rFonts w:ascii="Arial" w:hAnsi="Arial"/>
        </w:rPr>
      </w:pPr>
      <w:r w:rsidRPr="00214121">
        <w:rPr>
          <w:rFonts w:ascii="Arial" w:hAnsi="Arial"/>
        </w:rPr>
        <w:t>Paragraph 35.12 requires a reporting entity to explain how the transition from its previous financial reporting framework to FRS 102 has affected its reported financial position and financial performance.</w:t>
      </w:r>
      <w:r>
        <w:rPr>
          <w:rFonts w:ascii="Arial" w:hAnsi="Arial"/>
        </w:rPr>
        <w:t xml:space="preserve"> </w:t>
      </w:r>
    </w:p>
    <w:p w14:paraId="665E0CAB" w14:textId="77777777" w:rsidR="007A52A3" w:rsidRPr="00214121" w:rsidRDefault="007A52A3" w:rsidP="00214121">
      <w:pPr>
        <w:spacing w:line="360" w:lineRule="auto"/>
        <w:rPr>
          <w:rFonts w:ascii="Arial" w:hAnsi="Arial"/>
        </w:rPr>
      </w:pPr>
    </w:p>
    <w:p w14:paraId="4118E0C0" w14:textId="77777777" w:rsidR="007A52A3" w:rsidRPr="00214121" w:rsidRDefault="007A52A3" w:rsidP="00214121">
      <w:pPr>
        <w:pStyle w:val="Heading2"/>
        <w:spacing w:line="360" w:lineRule="auto"/>
        <w:rPr>
          <w:rFonts w:ascii="Arial" w:hAnsi="Arial"/>
          <w:i w:val="0"/>
          <w:sz w:val="24"/>
          <w:szCs w:val="24"/>
        </w:rPr>
      </w:pPr>
      <w:r w:rsidRPr="00214121">
        <w:rPr>
          <w:rFonts w:ascii="Arial" w:hAnsi="Arial"/>
          <w:i w:val="0"/>
          <w:sz w:val="24"/>
          <w:szCs w:val="24"/>
        </w:rPr>
        <w:lastRenderedPageBreak/>
        <w:t>Reconciliations</w:t>
      </w:r>
    </w:p>
    <w:p w14:paraId="4070B947" w14:textId="71095028" w:rsidR="007A52A3" w:rsidRPr="00214121" w:rsidRDefault="007A52A3" w:rsidP="00214121">
      <w:pPr>
        <w:spacing w:line="360" w:lineRule="auto"/>
        <w:rPr>
          <w:rFonts w:ascii="Arial" w:hAnsi="Arial"/>
        </w:rPr>
      </w:pPr>
      <w:r w:rsidRPr="00214121">
        <w:rPr>
          <w:rFonts w:ascii="Arial" w:hAnsi="Arial"/>
        </w:rPr>
        <w:t xml:space="preserve">There are certain reconciliations </w:t>
      </w:r>
      <w:r w:rsidR="003E02D8">
        <w:rPr>
          <w:rFonts w:ascii="Arial" w:hAnsi="Arial"/>
        </w:rPr>
        <w:t>that</w:t>
      </w:r>
      <w:r w:rsidRPr="00214121">
        <w:rPr>
          <w:rFonts w:ascii="Arial" w:hAnsi="Arial"/>
        </w:rPr>
        <w:t xml:space="preserve"> must be included in a first-time adopter’s financial statements to help users to understand the effect that the transition has had on the entity and must include:</w:t>
      </w:r>
    </w:p>
    <w:p w14:paraId="47ECFB8A" w14:textId="0D54FF9A" w:rsidR="007A52A3" w:rsidRPr="00214121" w:rsidRDefault="003E02D8" w:rsidP="00214121">
      <w:pPr>
        <w:tabs>
          <w:tab w:val="left" w:pos="709"/>
        </w:tabs>
        <w:spacing w:line="360" w:lineRule="auto"/>
        <w:ind w:left="567" w:hanging="567"/>
        <w:rPr>
          <w:rFonts w:ascii="Arial" w:hAnsi="Arial"/>
        </w:rPr>
      </w:pPr>
      <w:r>
        <w:rPr>
          <w:rFonts w:ascii="Arial" w:hAnsi="Arial"/>
        </w:rPr>
        <w:t>a.</w:t>
      </w:r>
      <w:r w:rsidR="007A52A3" w:rsidRPr="00214121">
        <w:rPr>
          <w:rFonts w:ascii="Arial" w:hAnsi="Arial"/>
        </w:rPr>
        <w:tab/>
      </w:r>
      <w:r w:rsidR="00930C3D">
        <w:rPr>
          <w:rFonts w:ascii="Arial" w:hAnsi="Arial"/>
        </w:rPr>
        <w:t>a</w:t>
      </w:r>
      <w:r w:rsidR="007A52A3" w:rsidRPr="00214121">
        <w:rPr>
          <w:rFonts w:ascii="Arial" w:hAnsi="Arial"/>
        </w:rPr>
        <w:t xml:space="preserve"> description of the nature of each change in accounting policy</w:t>
      </w:r>
    </w:p>
    <w:p w14:paraId="697ABE2A" w14:textId="376E6CAF" w:rsidR="007A52A3" w:rsidRPr="00214121" w:rsidRDefault="003E02D8" w:rsidP="00214121">
      <w:pPr>
        <w:tabs>
          <w:tab w:val="left" w:pos="709"/>
        </w:tabs>
        <w:spacing w:line="360" w:lineRule="auto"/>
        <w:ind w:left="567" w:hanging="567"/>
        <w:rPr>
          <w:rFonts w:ascii="Arial" w:hAnsi="Arial"/>
        </w:rPr>
      </w:pPr>
      <w:r>
        <w:rPr>
          <w:rFonts w:ascii="Arial" w:hAnsi="Arial"/>
        </w:rPr>
        <w:t>b.</w:t>
      </w:r>
      <w:r w:rsidR="007A52A3" w:rsidRPr="00214121">
        <w:rPr>
          <w:rFonts w:ascii="Arial" w:hAnsi="Arial"/>
        </w:rPr>
        <w:tab/>
      </w:r>
      <w:r w:rsidR="00930C3D">
        <w:rPr>
          <w:rFonts w:ascii="Arial" w:hAnsi="Arial"/>
        </w:rPr>
        <w:t>a</w:t>
      </w:r>
      <w:r w:rsidR="007A52A3" w:rsidRPr="00214121">
        <w:rPr>
          <w:rFonts w:ascii="Arial" w:hAnsi="Arial"/>
        </w:rPr>
        <w:t xml:space="preserve"> reconciliation of equity determined in accordance with its previous financial reporting framework to equity determined in accordance with FRS 102 for both of the following dates:</w:t>
      </w:r>
    </w:p>
    <w:p w14:paraId="24DE33B7" w14:textId="312A7B29" w:rsidR="007A52A3" w:rsidRPr="00214121" w:rsidRDefault="009A5220" w:rsidP="00214121">
      <w:pPr>
        <w:spacing w:line="360" w:lineRule="auto"/>
        <w:ind w:left="1134" w:hanging="567"/>
        <w:rPr>
          <w:rFonts w:ascii="Arial" w:hAnsi="Arial"/>
        </w:rPr>
      </w:pPr>
      <w:r>
        <w:rPr>
          <w:rFonts w:ascii="Arial" w:hAnsi="Arial"/>
        </w:rPr>
        <w:t>i</w:t>
      </w:r>
      <w:r w:rsidR="007A52A3" w:rsidRPr="00214121">
        <w:rPr>
          <w:rFonts w:ascii="Arial" w:hAnsi="Arial"/>
        </w:rPr>
        <w:tab/>
        <w:t>the date of transition</w:t>
      </w:r>
    </w:p>
    <w:p w14:paraId="7C5E69ED" w14:textId="10DE6E2C" w:rsidR="007A52A3" w:rsidRPr="00214121" w:rsidRDefault="009A5220" w:rsidP="00214121">
      <w:pPr>
        <w:spacing w:line="360" w:lineRule="auto"/>
        <w:ind w:left="1134" w:hanging="567"/>
        <w:rPr>
          <w:rFonts w:ascii="Arial" w:hAnsi="Arial"/>
        </w:rPr>
      </w:pPr>
      <w:r>
        <w:rPr>
          <w:rFonts w:ascii="Arial" w:hAnsi="Arial"/>
        </w:rPr>
        <w:t>ii</w:t>
      </w:r>
      <w:r w:rsidR="007A52A3" w:rsidRPr="00214121">
        <w:rPr>
          <w:rFonts w:ascii="Arial" w:hAnsi="Arial"/>
        </w:rPr>
        <w:tab/>
        <w:t>the end of the latest period presented in the entity’s most recent annual financial statements determined in accordance with its previou</w:t>
      </w:r>
      <w:r w:rsidRPr="00214121">
        <w:rPr>
          <w:rFonts w:ascii="Arial" w:hAnsi="Arial"/>
        </w:rPr>
        <w:t>s financial reporting framework</w:t>
      </w:r>
    </w:p>
    <w:p w14:paraId="4D12A268" w14:textId="75529D71" w:rsidR="007A52A3" w:rsidRPr="00214121" w:rsidRDefault="009A5220" w:rsidP="00214121">
      <w:pPr>
        <w:spacing w:line="360" w:lineRule="auto"/>
        <w:ind w:left="567" w:hanging="567"/>
        <w:rPr>
          <w:rFonts w:ascii="Arial" w:hAnsi="Arial"/>
        </w:rPr>
      </w:pPr>
      <w:r>
        <w:rPr>
          <w:rFonts w:ascii="Arial" w:hAnsi="Arial"/>
        </w:rPr>
        <w:t>c.</w:t>
      </w:r>
      <w:r w:rsidR="007A52A3" w:rsidRPr="00214121">
        <w:rPr>
          <w:rFonts w:ascii="Arial" w:hAnsi="Arial"/>
        </w:rPr>
        <w:tab/>
      </w:r>
      <w:r>
        <w:rPr>
          <w:rFonts w:ascii="Arial" w:hAnsi="Arial"/>
        </w:rPr>
        <w:t>a</w:t>
      </w:r>
      <w:r w:rsidR="007A52A3" w:rsidRPr="00214121">
        <w:rPr>
          <w:rFonts w:ascii="Arial" w:hAnsi="Arial"/>
        </w:rPr>
        <w:t xml:space="preserve"> reconciliation of the profit or loss determined in accordance with its previous financial reporting framework for the latest period in the entity’s most recent annual financial statements to its profit or loss determined in accordance with FRS 102 for the same period.</w:t>
      </w:r>
    </w:p>
    <w:p w14:paraId="5EED4C9E" w14:textId="77777777" w:rsidR="007A52A3" w:rsidRPr="00214121" w:rsidRDefault="007A52A3" w:rsidP="00214121">
      <w:pPr>
        <w:spacing w:line="360" w:lineRule="auto"/>
        <w:rPr>
          <w:rFonts w:ascii="Arial" w:hAnsi="Arial"/>
        </w:rPr>
      </w:pPr>
    </w:p>
    <w:p w14:paraId="50A12543" w14:textId="77777777" w:rsidR="007A52A3" w:rsidRPr="00214121" w:rsidRDefault="007A52A3" w:rsidP="00214121">
      <w:pPr>
        <w:spacing w:line="360" w:lineRule="auto"/>
        <w:rPr>
          <w:rFonts w:ascii="Arial" w:hAnsi="Arial"/>
        </w:rPr>
      </w:pPr>
      <w:r w:rsidRPr="00214121">
        <w:rPr>
          <w:rFonts w:ascii="Arial" w:hAnsi="Arial"/>
        </w:rPr>
        <w:t>Using the example of Smallco, the disclosures to comply with the above may be as follows:</w:t>
      </w:r>
    </w:p>
    <w:p w14:paraId="511F4957" w14:textId="77777777" w:rsidR="007A52A3" w:rsidRPr="00214121" w:rsidRDefault="007A52A3" w:rsidP="00214121">
      <w:pPr>
        <w:spacing w:line="360" w:lineRule="auto"/>
        <w:rPr>
          <w:rFonts w:ascii="Arial" w:hAnsi="Arial"/>
        </w:rPr>
      </w:pPr>
    </w:p>
    <w:p w14:paraId="0D2E0945" w14:textId="32D20463" w:rsidR="007A52A3" w:rsidRPr="00214121" w:rsidRDefault="007A52A3" w:rsidP="00214121">
      <w:pPr>
        <w:spacing w:line="360" w:lineRule="auto"/>
        <w:rPr>
          <w:rFonts w:ascii="Arial" w:hAnsi="Arial"/>
          <w:b/>
        </w:rPr>
      </w:pPr>
      <w:r w:rsidRPr="00214121">
        <w:rPr>
          <w:rFonts w:ascii="Arial" w:hAnsi="Arial"/>
          <w:b/>
        </w:rPr>
        <w:t xml:space="preserve">Reconciliation of </w:t>
      </w:r>
      <w:r w:rsidR="00875D4C">
        <w:rPr>
          <w:rFonts w:ascii="Arial" w:hAnsi="Arial"/>
          <w:b/>
        </w:rPr>
        <w:t>e</w:t>
      </w:r>
      <w:r w:rsidRPr="00214121">
        <w:rPr>
          <w:rFonts w:ascii="Arial" w:hAnsi="Arial"/>
          <w:b/>
        </w:rPr>
        <w:t>quity</w:t>
      </w:r>
    </w:p>
    <w:tbl>
      <w:tblPr>
        <w:tblW w:w="0" w:type="auto"/>
        <w:tblLook w:val="04A0" w:firstRow="1" w:lastRow="0" w:firstColumn="1" w:lastColumn="0" w:noHBand="0" w:noVBand="1"/>
      </w:tblPr>
      <w:tblGrid>
        <w:gridCol w:w="1976"/>
        <w:gridCol w:w="1976"/>
        <w:gridCol w:w="1589"/>
        <w:gridCol w:w="723"/>
        <w:gridCol w:w="1284"/>
        <w:gridCol w:w="1378"/>
      </w:tblGrid>
      <w:tr w:rsidR="007A52A3" w:rsidRPr="007A52A3" w14:paraId="0CD5C8C4" w14:textId="77777777" w:rsidTr="00B9592E">
        <w:trPr>
          <w:trHeight w:val="300"/>
        </w:trPr>
        <w:tc>
          <w:tcPr>
            <w:tcW w:w="0" w:type="auto"/>
            <w:tcBorders>
              <w:top w:val="nil"/>
              <w:left w:val="nil"/>
              <w:bottom w:val="nil"/>
              <w:right w:val="nil"/>
            </w:tcBorders>
            <w:shd w:val="clear" w:color="auto" w:fill="auto"/>
            <w:noWrap/>
            <w:vAlign w:val="bottom"/>
            <w:hideMark/>
          </w:tcPr>
          <w:p w14:paraId="3A265576"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6BA96EF3"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5E124D5F"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7F2F2154"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4E1EA254" w14:textId="77777777" w:rsidR="007A52A3" w:rsidRPr="00214121" w:rsidRDefault="007A52A3" w:rsidP="00214121">
            <w:pPr>
              <w:jc w:val="right"/>
              <w:rPr>
                <w:rFonts w:ascii="Arial" w:hAnsi="Arial"/>
                <w:b/>
                <w:bCs/>
                <w:color w:val="000000"/>
                <w:lang w:val="en-US"/>
              </w:rPr>
            </w:pPr>
            <w:r w:rsidRPr="00214121">
              <w:rPr>
                <w:rFonts w:ascii="Arial" w:hAnsi="Arial"/>
                <w:b/>
                <w:bCs/>
                <w:color w:val="000000"/>
                <w:lang w:val="en-US"/>
              </w:rPr>
              <w:t>At 1.5.15</w:t>
            </w:r>
          </w:p>
        </w:tc>
        <w:tc>
          <w:tcPr>
            <w:tcW w:w="0" w:type="auto"/>
            <w:tcBorders>
              <w:top w:val="nil"/>
              <w:left w:val="nil"/>
              <w:bottom w:val="nil"/>
              <w:right w:val="nil"/>
            </w:tcBorders>
            <w:shd w:val="clear" w:color="auto" w:fill="auto"/>
            <w:noWrap/>
            <w:vAlign w:val="bottom"/>
            <w:hideMark/>
          </w:tcPr>
          <w:p w14:paraId="08465273" w14:textId="77777777" w:rsidR="007A52A3" w:rsidRPr="00214121" w:rsidRDefault="007A52A3" w:rsidP="00214121">
            <w:pPr>
              <w:jc w:val="right"/>
              <w:rPr>
                <w:rFonts w:ascii="Arial" w:hAnsi="Arial"/>
                <w:b/>
                <w:bCs/>
                <w:color w:val="000000"/>
                <w:lang w:val="en-US"/>
              </w:rPr>
            </w:pPr>
            <w:r w:rsidRPr="00214121">
              <w:rPr>
                <w:rFonts w:ascii="Arial" w:hAnsi="Arial"/>
                <w:b/>
                <w:bCs/>
                <w:color w:val="000000"/>
                <w:lang w:val="en-US"/>
              </w:rPr>
              <w:t>At 30.4.16</w:t>
            </w:r>
          </w:p>
        </w:tc>
      </w:tr>
      <w:tr w:rsidR="007A52A3" w:rsidRPr="007A52A3" w14:paraId="7DB29ABB" w14:textId="77777777" w:rsidTr="00B9592E">
        <w:trPr>
          <w:trHeight w:val="300"/>
        </w:trPr>
        <w:tc>
          <w:tcPr>
            <w:tcW w:w="0" w:type="auto"/>
            <w:tcBorders>
              <w:top w:val="nil"/>
              <w:left w:val="nil"/>
              <w:bottom w:val="nil"/>
              <w:right w:val="nil"/>
            </w:tcBorders>
            <w:shd w:val="clear" w:color="auto" w:fill="auto"/>
            <w:noWrap/>
            <w:vAlign w:val="bottom"/>
            <w:hideMark/>
          </w:tcPr>
          <w:p w14:paraId="0083C985" w14:textId="77777777" w:rsidR="007A52A3" w:rsidRPr="00214121" w:rsidRDefault="007A52A3" w:rsidP="00214121">
            <w:pPr>
              <w:jc w:val="right"/>
              <w:rPr>
                <w:rFonts w:ascii="Arial" w:hAnsi="Arial"/>
                <w:b/>
                <w:bCs/>
                <w:color w:val="000000"/>
                <w:lang w:val="en-US"/>
              </w:rPr>
            </w:pPr>
          </w:p>
        </w:tc>
        <w:tc>
          <w:tcPr>
            <w:tcW w:w="0" w:type="auto"/>
            <w:tcBorders>
              <w:top w:val="nil"/>
              <w:left w:val="nil"/>
              <w:bottom w:val="nil"/>
              <w:right w:val="nil"/>
            </w:tcBorders>
            <w:shd w:val="clear" w:color="auto" w:fill="auto"/>
            <w:noWrap/>
            <w:vAlign w:val="bottom"/>
            <w:hideMark/>
          </w:tcPr>
          <w:p w14:paraId="5AD69D46"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765C7BD7"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5507E49C" w14:textId="77777777" w:rsidR="007A52A3" w:rsidRPr="00214121" w:rsidRDefault="007A52A3" w:rsidP="00214121">
            <w:pPr>
              <w:jc w:val="center"/>
              <w:rPr>
                <w:rFonts w:ascii="Arial" w:hAnsi="Arial"/>
                <w:color w:val="000000"/>
                <w:lang w:val="en-US"/>
              </w:rPr>
            </w:pPr>
            <w:r w:rsidRPr="00214121">
              <w:rPr>
                <w:rFonts w:ascii="Arial" w:hAnsi="Arial"/>
                <w:color w:val="000000"/>
                <w:lang w:val="en-US"/>
              </w:rPr>
              <w:t>Note</w:t>
            </w:r>
          </w:p>
        </w:tc>
        <w:tc>
          <w:tcPr>
            <w:tcW w:w="0" w:type="auto"/>
            <w:tcBorders>
              <w:top w:val="nil"/>
              <w:left w:val="nil"/>
              <w:bottom w:val="nil"/>
              <w:right w:val="nil"/>
            </w:tcBorders>
            <w:shd w:val="clear" w:color="auto" w:fill="auto"/>
            <w:noWrap/>
            <w:vAlign w:val="bottom"/>
            <w:hideMark/>
          </w:tcPr>
          <w:p w14:paraId="2ADA181A"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w:t>
            </w:r>
          </w:p>
        </w:tc>
        <w:tc>
          <w:tcPr>
            <w:tcW w:w="0" w:type="auto"/>
            <w:tcBorders>
              <w:top w:val="nil"/>
              <w:left w:val="nil"/>
              <w:bottom w:val="nil"/>
              <w:right w:val="nil"/>
            </w:tcBorders>
            <w:shd w:val="clear" w:color="auto" w:fill="auto"/>
            <w:noWrap/>
            <w:vAlign w:val="bottom"/>
            <w:hideMark/>
          </w:tcPr>
          <w:p w14:paraId="0BDB78B6"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w:t>
            </w:r>
          </w:p>
        </w:tc>
      </w:tr>
      <w:tr w:rsidR="007A52A3" w:rsidRPr="007A52A3" w14:paraId="6CA4584F" w14:textId="77777777" w:rsidTr="00B9592E">
        <w:trPr>
          <w:trHeight w:val="300"/>
        </w:trPr>
        <w:tc>
          <w:tcPr>
            <w:tcW w:w="0" w:type="auto"/>
            <w:gridSpan w:val="3"/>
            <w:tcBorders>
              <w:top w:val="nil"/>
              <w:left w:val="nil"/>
              <w:bottom w:val="nil"/>
              <w:right w:val="nil"/>
            </w:tcBorders>
            <w:shd w:val="clear" w:color="auto" w:fill="auto"/>
            <w:noWrap/>
            <w:vAlign w:val="bottom"/>
            <w:hideMark/>
          </w:tcPr>
          <w:p w14:paraId="47E6F61D" w14:textId="77777777" w:rsidR="007A52A3" w:rsidRPr="00214121" w:rsidRDefault="007A52A3" w:rsidP="00214121">
            <w:pPr>
              <w:rPr>
                <w:rFonts w:ascii="Arial" w:hAnsi="Arial"/>
                <w:color w:val="000000"/>
                <w:lang w:val="en-US"/>
              </w:rPr>
            </w:pPr>
            <w:r w:rsidRPr="00214121">
              <w:rPr>
                <w:rFonts w:ascii="Arial" w:hAnsi="Arial"/>
                <w:color w:val="000000"/>
                <w:lang w:val="en-US"/>
              </w:rPr>
              <w:t>Capital and reserves (as previously stated)</w:t>
            </w:r>
          </w:p>
        </w:tc>
        <w:tc>
          <w:tcPr>
            <w:tcW w:w="0" w:type="auto"/>
            <w:tcBorders>
              <w:top w:val="nil"/>
              <w:left w:val="nil"/>
              <w:bottom w:val="nil"/>
              <w:right w:val="nil"/>
            </w:tcBorders>
            <w:shd w:val="clear" w:color="auto" w:fill="auto"/>
            <w:noWrap/>
            <w:vAlign w:val="bottom"/>
            <w:hideMark/>
          </w:tcPr>
          <w:p w14:paraId="027C8BE2" w14:textId="77777777" w:rsidR="007A52A3" w:rsidRPr="00214121" w:rsidRDefault="007A52A3" w:rsidP="00214121">
            <w:pPr>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7F0F0C4E"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 xml:space="preserve">1,778,649 </w:t>
            </w:r>
          </w:p>
        </w:tc>
        <w:tc>
          <w:tcPr>
            <w:tcW w:w="0" w:type="auto"/>
            <w:tcBorders>
              <w:top w:val="nil"/>
              <w:left w:val="nil"/>
              <w:bottom w:val="nil"/>
              <w:right w:val="nil"/>
            </w:tcBorders>
            <w:shd w:val="clear" w:color="auto" w:fill="auto"/>
            <w:noWrap/>
            <w:vAlign w:val="bottom"/>
            <w:hideMark/>
          </w:tcPr>
          <w:p w14:paraId="7F57F6CF"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 xml:space="preserve">2,554,827 </w:t>
            </w:r>
          </w:p>
        </w:tc>
      </w:tr>
      <w:tr w:rsidR="007A52A3" w:rsidRPr="007A52A3" w14:paraId="29C22AD1"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77DCCB4D" w14:textId="77777777" w:rsidR="007A52A3" w:rsidRPr="00214121" w:rsidRDefault="007A52A3" w:rsidP="00214121">
            <w:pPr>
              <w:rPr>
                <w:rFonts w:ascii="Arial" w:hAnsi="Arial"/>
                <w:color w:val="000000"/>
                <w:lang w:val="en-US"/>
              </w:rPr>
            </w:pPr>
            <w:r w:rsidRPr="00214121">
              <w:rPr>
                <w:rFonts w:ascii="Arial" w:hAnsi="Arial"/>
                <w:color w:val="000000"/>
                <w:lang w:val="en-US"/>
              </w:rPr>
              <w:t xml:space="preserve">Short-term compensated absences </w:t>
            </w:r>
          </w:p>
        </w:tc>
        <w:tc>
          <w:tcPr>
            <w:tcW w:w="0" w:type="auto"/>
            <w:tcBorders>
              <w:top w:val="nil"/>
              <w:left w:val="nil"/>
              <w:bottom w:val="nil"/>
              <w:right w:val="nil"/>
            </w:tcBorders>
            <w:shd w:val="clear" w:color="auto" w:fill="auto"/>
            <w:noWrap/>
            <w:vAlign w:val="bottom"/>
            <w:hideMark/>
          </w:tcPr>
          <w:p w14:paraId="6C704BDF" w14:textId="77777777" w:rsidR="007A52A3" w:rsidRPr="00214121" w:rsidRDefault="007A52A3" w:rsidP="00214121">
            <w:pPr>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2B1B9071" w14:textId="77777777" w:rsidR="007A52A3" w:rsidRPr="00214121" w:rsidRDefault="007A52A3" w:rsidP="00214121">
            <w:pPr>
              <w:jc w:val="center"/>
              <w:rPr>
                <w:rFonts w:ascii="Arial" w:hAnsi="Arial"/>
                <w:color w:val="000000"/>
                <w:lang w:val="en-US"/>
              </w:rPr>
            </w:pPr>
            <w:r w:rsidRPr="00214121">
              <w:rPr>
                <w:rFonts w:ascii="Arial" w:hAnsi="Arial"/>
                <w:color w:val="000000"/>
                <w:lang w:val="en-US"/>
              </w:rPr>
              <w:t xml:space="preserve">1 </w:t>
            </w:r>
          </w:p>
        </w:tc>
        <w:tc>
          <w:tcPr>
            <w:tcW w:w="0" w:type="auto"/>
            <w:tcBorders>
              <w:top w:val="nil"/>
              <w:left w:val="nil"/>
              <w:bottom w:val="nil"/>
              <w:right w:val="nil"/>
            </w:tcBorders>
            <w:shd w:val="clear" w:color="auto" w:fill="auto"/>
            <w:noWrap/>
            <w:vAlign w:val="bottom"/>
            <w:hideMark/>
          </w:tcPr>
          <w:p w14:paraId="5B80FE37"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(7,200)</w:t>
            </w:r>
          </w:p>
        </w:tc>
        <w:tc>
          <w:tcPr>
            <w:tcW w:w="0" w:type="auto"/>
            <w:tcBorders>
              <w:top w:val="nil"/>
              <w:left w:val="nil"/>
              <w:bottom w:val="nil"/>
              <w:right w:val="nil"/>
            </w:tcBorders>
            <w:shd w:val="clear" w:color="auto" w:fill="auto"/>
            <w:noWrap/>
            <w:vAlign w:val="bottom"/>
            <w:hideMark/>
          </w:tcPr>
          <w:p w14:paraId="7EA56289"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(8,500)</w:t>
            </w:r>
          </w:p>
        </w:tc>
      </w:tr>
      <w:tr w:rsidR="007A52A3" w:rsidRPr="007A52A3" w14:paraId="4D0CD2CC" w14:textId="77777777" w:rsidTr="00B9592E">
        <w:trPr>
          <w:trHeight w:val="300"/>
        </w:trPr>
        <w:tc>
          <w:tcPr>
            <w:tcW w:w="0" w:type="auto"/>
            <w:gridSpan w:val="3"/>
            <w:tcBorders>
              <w:top w:val="nil"/>
              <w:left w:val="nil"/>
              <w:bottom w:val="nil"/>
              <w:right w:val="nil"/>
            </w:tcBorders>
            <w:shd w:val="clear" w:color="auto" w:fill="auto"/>
            <w:noWrap/>
            <w:vAlign w:val="bottom"/>
            <w:hideMark/>
          </w:tcPr>
          <w:p w14:paraId="18F14FF2" w14:textId="77777777" w:rsidR="007A52A3" w:rsidRPr="00214121" w:rsidRDefault="007A52A3" w:rsidP="00214121">
            <w:pPr>
              <w:rPr>
                <w:rFonts w:ascii="Arial" w:hAnsi="Arial"/>
                <w:color w:val="000000"/>
                <w:lang w:val="en-US"/>
              </w:rPr>
            </w:pPr>
            <w:r w:rsidRPr="00214121">
              <w:rPr>
                <w:rFonts w:ascii="Arial" w:hAnsi="Arial"/>
                <w:color w:val="000000"/>
                <w:lang w:val="en-US"/>
              </w:rPr>
              <w:t xml:space="preserve">Deferred tax on investment property </w:t>
            </w:r>
          </w:p>
        </w:tc>
        <w:tc>
          <w:tcPr>
            <w:tcW w:w="0" w:type="auto"/>
            <w:tcBorders>
              <w:top w:val="nil"/>
              <w:left w:val="nil"/>
              <w:bottom w:val="nil"/>
              <w:right w:val="nil"/>
            </w:tcBorders>
            <w:shd w:val="clear" w:color="auto" w:fill="auto"/>
            <w:noWrap/>
            <w:vAlign w:val="bottom"/>
            <w:hideMark/>
          </w:tcPr>
          <w:p w14:paraId="7C94BD58" w14:textId="77777777" w:rsidR="007A52A3" w:rsidRPr="00214121" w:rsidRDefault="007A52A3" w:rsidP="00214121">
            <w:pPr>
              <w:jc w:val="center"/>
              <w:rPr>
                <w:rFonts w:ascii="Arial" w:hAnsi="Arial"/>
                <w:color w:val="000000"/>
                <w:lang w:val="en-US"/>
              </w:rPr>
            </w:pPr>
            <w:r w:rsidRPr="00214121">
              <w:rPr>
                <w:rFonts w:ascii="Arial" w:hAnsi="Arial"/>
                <w:color w:val="000000"/>
                <w:lang w:val="en-US"/>
              </w:rPr>
              <w:t xml:space="preserve">2 </w:t>
            </w:r>
          </w:p>
        </w:tc>
        <w:tc>
          <w:tcPr>
            <w:tcW w:w="0" w:type="auto"/>
            <w:tcBorders>
              <w:top w:val="nil"/>
              <w:left w:val="nil"/>
              <w:bottom w:val="nil"/>
              <w:right w:val="nil"/>
            </w:tcBorders>
            <w:shd w:val="clear" w:color="auto" w:fill="auto"/>
            <w:noWrap/>
            <w:vAlign w:val="bottom"/>
            <w:hideMark/>
          </w:tcPr>
          <w:p w14:paraId="7130CF47"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(17,040)</w:t>
            </w:r>
          </w:p>
        </w:tc>
        <w:tc>
          <w:tcPr>
            <w:tcW w:w="0" w:type="auto"/>
            <w:tcBorders>
              <w:top w:val="nil"/>
              <w:left w:val="nil"/>
              <w:bottom w:val="nil"/>
              <w:right w:val="nil"/>
            </w:tcBorders>
            <w:shd w:val="clear" w:color="auto" w:fill="auto"/>
            <w:noWrap/>
            <w:vAlign w:val="bottom"/>
            <w:hideMark/>
          </w:tcPr>
          <w:p w14:paraId="788CCFCD"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(21,040)</w:t>
            </w:r>
          </w:p>
        </w:tc>
      </w:tr>
      <w:tr w:rsidR="007A52A3" w:rsidRPr="007A52A3" w14:paraId="2E8F0BEA" w14:textId="77777777" w:rsidTr="00B9592E">
        <w:trPr>
          <w:trHeight w:val="320"/>
        </w:trPr>
        <w:tc>
          <w:tcPr>
            <w:tcW w:w="0" w:type="auto"/>
            <w:gridSpan w:val="2"/>
            <w:tcBorders>
              <w:top w:val="nil"/>
              <w:left w:val="nil"/>
              <w:bottom w:val="nil"/>
              <w:right w:val="nil"/>
            </w:tcBorders>
            <w:shd w:val="clear" w:color="auto" w:fill="auto"/>
            <w:noWrap/>
            <w:vAlign w:val="bottom"/>
            <w:hideMark/>
          </w:tcPr>
          <w:p w14:paraId="7FFFC887" w14:textId="77777777" w:rsidR="007A52A3" w:rsidRPr="00214121" w:rsidRDefault="007A52A3" w:rsidP="00214121">
            <w:pPr>
              <w:rPr>
                <w:rFonts w:ascii="Arial" w:hAnsi="Arial"/>
                <w:color w:val="000000"/>
                <w:lang w:val="en-US"/>
              </w:rPr>
            </w:pPr>
            <w:r w:rsidRPr="00214121">
              <w:rPr>
                <w:rFonts w:ascii="Arial" w:hAnsi="Arial"/>
                <w:color w:val="000000"/>
                <w:lang w:val="en-US"/>
              </w:rPr>
              <w:t xml:space="preserve">Capital and reserves (as restated) </w:t>
            </w:r>
          </w:p>
        </w:tc>
        <w:tc>
          <w:tcPr>
            <w:tcW w:w="0" w:type="auto"/>
            <w:tcBorders>
              <w:top w:val="nil"/>
              <w:left w:val="nil"/>
              <w:bottom w:val="nil"/>
              <w:right w:val="nil"/>
            </w:tcBorders>
            <w:shd w:val="clear" w:color="auto" w:fill="auto"/>
            <w:noWrap/>
            <w:vAlign w:val="bottom"/>
            <w:hideMark/>
          </w:tcPr>
          <w:p w14:paraId="12BCDCE1" w14:textId="77777777" w:rsidR="007A52A3" w:rsidRPr="00214121" w:rsidRDefault="007A52A3" w:rsidP="00214121">
            <w:pPr>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727264B3" w14:textId="77777777" w:rsidR="007A52A3" w:rsidRPr="00214121" w:rsidRDefault="007A52A3" w:rsidP="00214121">
            <w:pPr>
              <w:jc w:val="center"/>
              <w:rPr>
                <w:rFonts w:ascii="Arial" w:hAnsi="Arial"/>
                <w:lang w:val="en-US"/>
              </w:rPr>
            </w:pPr>
          </w:p>
        </w:tc>
        <w:tc>
          <w:tcPr>
            <w:tcW w:w="0" w:type="auto"/>
            <w:tcBorders>
              <w:top w:val="single" w:sz="4" w:space="0" w:color="auto"/>
              <w:left w:val="nil"/>
              <w:bottom w:val="double" w:sz="6" w:space="0" w:color="auto"/>
              <w:right w:val="nil"/>
            </w:tcBorders>
            <w:shd w:val="clear" w:color="auto" w:fill="auto"/>
            <w:noWrap/>
            <w:vAlign w:val="bottom"/>
            <w:hideMark/>
          </w:tcPr>
          <w:p w14:paraId="298E1360"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 xml:space="preserve">1,754,409 </w:t>
            </w:r>
          </w:p>
        </w:tc>
        <w:tc>
          <w:tcPr>
            <w:tcW w:w="0" w:type="auto"/>
            <w:tcBorders>
              <w:top w:val="single" w:sz="4" w:space="0" w:color="auto"/>
              <w:left w:val="nil"/>
              <w:bottom w:val="double" w:sz="6" w:space="0" w:color="auto"/>
              <w:right w:val="nil"/>
            </w:tcBorders>
            <w:shd w:val="clear" w:color="auto" w:fill="auto"/>
            <w:noWrap/>
            <w:vAlign w:val="bottom"/>
            <w:hideMark/>
          </w:tcPr>
          <w:p w14:paraId="4A8A1687"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 xml:space="preserve">2,525,287* </w:t>
            </w:r>
          </w:p>
        </w:tc>
      </w:tr>
    </w:tbl>
    <w:p w14:paraId="40C8E5CD" w14:textId="77777777" w:rsidR="007A52A3" w:rsidRPr="00214121" w:rsidRDefault="007A52A3" w:rsidP="00214121">
      <w:pPr>
        <w:spacing w:line="360" w:lineRule="auto"/>
        <w:rPr>
          <w:rFonts w:ascii="Arial" w:hAnsi="Arial"/>
        </w:rPr>
      </w:pPr>
    </w:p>
    <w:p w14:paraId="7624C27C" w14:textId="555C8634" w:rsidR="007A52A3" w:rsidRPr="00214121" w:rsidRDefault="007A52A3" w:rsidP="00214121">
      <w:pPr>
        <w:rPr>
          <w:rFonts w:ascii="Arial" w:hAnsi="Arial"/>
          <w:b/>
        </w:rPr>
      </w:pPr>
      <w:r w:rsidRPr="00214121">
        <w:rPr>
          <w:rFonts w:ascii="Arial" w:hAnsi="Arial"/>
          <w:b/>
        </w:rPr>
        <w:t>Reconciliation of profit or loss for the year</w:t>
      </w:r>
    </w:p>
    <w:tbl>
      <w:tblPr>
        <w:tblW w:w="0" w:type="auto"/>
        <w:tblLook w:val="04A0" w:firstRow="1" w:lastRow="0" w:firstColumn="1" w:lastColumn="0" w:noHBand="0" w:noVBand="1"/>
      </w:tblPr>
      <w:tblGrid>
        <w:gridCol w:w="1977"/>
        <w:gridCol w:w="1975"/>
        <w:gridCol w:w="1548"/>
        <w:gridCol w:w="723"/>
        <w:gridCol w:w="222"/>
        <w:gridCol w:w="1510"/>
      </w:tblGrid>
      <w:tr w:rsidR="007A52A3" w:rsidRPr="007A52A3" w14:paraId="4D2162DF" w14:textId="77777777" w:rsidTr="00B9592E">
        <w:trPr>
          <w:trHeight w:val="300"/>
        </w:trPr>
        <w:tc>
          <w:tcPr>
            <w:tcW w:w="0" w:type="auto"/>
            <w:tcBorders>
              <w:top w:val="nil"/>
              <w:left w:val="nil"/>
              <w:bottom w:val="nil"/>
              <w:right w:val="nil"/>
            </w:tcBorders>
            <w:shd w:val="clear" w:color="auto" w:fill="auto"/>
            <w:noWrap/>
            <w:vAlign w:val="bottom"/>
            <w:hideMark/>
          </w:tcPr>
          <w:p w14:paraId="7B460727"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488D69F7"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7426F9E0"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164CFBB7" w14:textId="77777777" w:rsidR="007A52A3" w:rsidRPr="00214121" w:rsidRDefault="007A52A3" w:rsidP="00214121">
            <w:pPr>
              <w:jc w:val="center"/>
              <w:rPr>
                <w:rFonts w:ascii="Arial" w:hAnsi="Arial"/>
                <w:lang w:val="en-US"/>
              </w:rPr>
            </w:pPr>
          </w:p>
        </w:tc>
        <w:tc>
          <w:tcPr>
            <w:tcW w:w="0" w:type="auto"/>
            <w:tcBorders>
              <w:top w:val="nil"/>
              <w:left w:val="nil"/>
              <w:bottom w:val="nil"/>
              <w:right w:val="nil"/>
            </w:tcBorders>
            <w:shd w:val="clear" w:color="auto" w:fill="auto"/>
            <w:noWrap/>
            <w:vAlign w:val="bottom"/>
            <w:hideMark/>
          </w:tcPr>
          <w:p w14:paraId="22616057" w14:textId="77777777" w:rsidR="007A52A3" w:rsidRPr="00214121" w:rsidRDefault="007A52A3" w:rsidP="00214121">
            <w:pPr>
              <w:jc w:val="center"/>
              <w:rPr>
                <w:rFonts w:ascii="Arial" w:hAnsi="Arial"/>
                <w:lang w:val="en-US"/>
              </w:rPr>
            </w:pPr>
          </w:p>
        </w:tc>
        <w:tc>
          <w:tcPr>
            <w:tcW w:w="0" w:type="auto"/>
            <w:tcBorders>
              <w:top w:val="nil"/>
              <w:left w:val="nil"/>
              <w:bottom w:val="nil"/>
              <w:right w:val="nil"/>
            </w:tcBorders>
            <w:shd w:val="clear" w:color="auto" w:fill="auto"/>
            <w:noWrap/>
            <w:vAlign w:val="bottom"/>
            <w:hideMark/>
          </w:tcPr>
          <w:p w14:paraId="0CB9C0AD" w14:textId="1823B39C" w:rsidR="007A52A3" w:rsidRPr="00214121" w:rsidRDefault="007A52A3" w:rsidP="00214121">
            <w:pPr>
              <w:jc w:val="right"/>
              <w:rPr>
                <w:rFonts w:ascii="Arial" w:hAnsi="Arial"/>
                <w:b/>
                <w:bCs/>
                <w:color w:val="000000"/>
                <w:lang w:val="en-US"/>
              </w:rPr>
            </w:pPr>
            <w:r w:rsidRPr="00214121">
              <w:rPr>
                <w:rFonts w:ascii="Arial" w:hAnsi="Arial"/>
                <w:b/>
                <w:bCs/>
                <w:color w:val="000000"/>
                <w:lang w:val="en-US"/>
              </w:rPr>
              <w:t>Year</w:t>
            </w:r>
            <w:r w:rsidR="006A22FE">
              <w:rPr>
                <w:rFonts w:ascii="Arial" w:hAnsi="Arial"/>
                <w:b/>
                <w:bCs/>
                <w:color w:val="000000"/>
                <w:lang w:val="en-US"/>
              </w:rPr>
              <w:t xml:space="preserve"> </w:t>
            </w:r>
            <w:r w:rsidRPr="00214121">
              <w:rPr>
                <w:rFonts w:ascii="Arial" w:hAnsi="Arial"/>
                <w:b/>
                <w:bCs/>
                <w:color w:val="000000"/>
                <w:lang w:val="en-US"/>
              </w:rPr>
              <w:t>ended</w:t>
            </w:r>
          </w:p>
        </w:tc>
      </w:tr>
      <w:tr w:rsidR="007A52A3" w:rsidRPr="007A52A3" w14:paraId="66FBA8AC" w14:textId="77777777" w:rsidTr="00B9592E">
        <w:trPr>
          <w:trHeight w:val="300"/>
        </w:trPr>
        <w:tc>
          <w:tcPr>
            <w:tcW w:w="0" w:type="auto"/>
            <w:tcBorders>
              <w:top w:val="nil"/>
              <w:left w:val="nil"/>
              <w:bottom w:val="nil"/>
              <w:right w:val="nil"/>
            </w:tcBorders>
            <w:shd w:val="clear" w:color="auto" w:fill="auto"/>
            <w:noWrap/>
            <w:vAlign w:val="bottom"/>
            <w:hideMark/>
          </w:tcPr>
          <w:p w14:paraId="14DADD6E" w14:textId="77777777" w:rsidR="007A52A3" w:rsidRPr="00214121" w:rsidRDefault="007A52A3" w:rsidP="00214121">
            <w:pPr>
              <w:jc w:val="right"/>
              <w:rPr>
                <w:rFonts w:ascii="Arial" w:hAnsi="Arial"/>
                <w:b/>
                <w:bCs/>
                <w:color w:val="000000"/>
                <w:lang w:val="en-US"/>
              </w:rPr>
            </w:pPr>
          </w:p>
        </w:tc>
        <w:tc>
          <w:tcPr>
            <w:tcW w:w="0" w:type="auto"/>
            <w:tcBorders>
              <w:top w:val="nil"/>
              <w:left w:val="nil"/>
              <w:bottom w:val="nil"/>
              <w:right w:val="nil"/>
            </w:tcBorders>
            <w:shd w:val="clear" w:color="auto" w:fill="auto"/>
            <w:noWrap/>
            <w:vAlign w:val="bottom"/>
            <w:hideMark/>
          </w:tcPr>
          <w:p w14:paraId="2B6D8553"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23A09C1E"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6391F201" w14:textId="77777777" w:rsidR="007A52A3" w:rsidRPr="00214121" w:rsidRDefault="007A52A3" w:rsidP="00214121">
            <w:pPr>
              <w:jc w:val="center"/>
              <w:rPr>
                <w:rFonts w:ascii="Arial" w:hAnsi="Arial"/>
                <w:lang w:val="en-US"/>
              </w:rPr>
            </w:pPr>
          </w:p>
        </w:tc>
        <w:tc>
          <w:tcPr>
            <w:tcW w:w="0" w:type="auto"/>
            <w:tcBorders>
              <w:top w:val="nil"/>
              <w:left w:val="nil"/>
              <w:bottom w:val="nil"/>
              <w:right w:val="nil"/>
            </w:tcBorders>
            <w:shd w:val="clear" w:color="auto" w:fill="auto"/>
            <w:noWrap/>
            <w:vAlign w:val="bottom"/>
            <w:hideMark/>
          </w:tcPr>
          <w:p w14:paraId="70FDF8A9"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5A39659A" w14:textId="77777777" w:rsidR="007A52A3" w:rsidRPr="00214121" w:rsidRDefault="007A52A3" w:rsidP="00214121">
            <w:pPr>
              <w:jc w:val="right"/>
              <w:rPr>
                <w:rFonts w:ascii="Arial" w:hAnsi="Arial"/>
                <w:b/>
                <w:bCs/>
                <w:color w:val="000000"/>
                <w:lang w:val="en-US"/>
              </w:rPr>
            </w:pPr>
            <w:r w:rsidRPr="00214121">
              <w:rPr>
                <w:rFonts w:ascii="Arial" w:hAnsi="Arial"/>
                <w:b/>
                <w:bCs/>
                <w:color w:val="000000"/>
                <w:lang w:val="en-US"/>
              </w:rPr>
              <w:t>30.04.2016</w:t>
            </w:r>
          </w:p>
        </w:tc>
      </w:tr>
      <w:tr w:rsidR="007A52A3" w:rsidRPr="007A52A3" w14:paraId="2A72AE82" w14:textId="77777777" w:rsidTr="00B9592E">
        <w:trPr>
          <w:trHeight w:val="300"/>
        </w:trPr>
        <w:tc>
          <w:tcPr>
            <w:tcW w:w="0" w:type="auto"/>
            <w:tcBorders>
              <w:top w:val="nil"/>
              <w:left w:val="nil"/>
              <w:bottom w:val="nil"/>
              <w:right w:val="nil"/>
            </w:tcBorders>
            <w:shd w:val="clear" w:color="auto" w:fill="auto"/>
            <w:noWrap/>
            <w:vAlign w:val="bottom"/>
            <w:hideMark/>
          </w:tcPr>
          <w:p w14:paraId="5F82C59E" w14:textId="77777777" w:rsidR="007A52A3" w:rsidRPr="00214121" w:rsidRDefault="007A52A3" w:rsidP="00214121">
            <w:pPr>
              <w:jc w:val="right"/>
              <w:rPr>
                <w:rFonts w:ascii="Arial" w:hAnsi="Arial"/>
                <w:b/>
                <w:bCs/>
                <w:color w:val="000000"/>
                <w:lang w:val="en-US"/>
              </w:rPr>
            </w:pPr>
          </w:p>
        </w:tc>
        <w:tc>
          <w:tcPr>
            <w:tcW w:w="0" w:type="auto"/>
            <w:tcBorders>
              <w:top w:val="nil"/>
              <w:left w:val="nil"/>
              <w:bottom w:val="nil"/>
              <w:right w:val="nil"/>
            </w:tcBorders>
            <w:shd w:val="clear" w:color="auto" w:fill="auto"/>
            <w:noWrap/>
            <w:vAlign w:val="bottom"/>
            <w:hideMark/>
          </w:tcPr>
          <w:p w14:paraId="36E43742"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6C28B84A"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7132DC80" w14:textId="77777777" w:rsidR="007A52A3" w:rsidRPr="00214121" w:rsidRDefault="007A52A3" w:rsidP="00214121">
            <w:pPr>
              <w:rPr>
                <w:rFonts w:ascii="Arial" w:hAnsi="Arial"/>
                <w:lang w:val="en-US"/>
              </w:rPr>
            </w:pPr>
            <w:r w:rsidRPr="00214121">
              <w:rPr>
                <w:rFonts w:ascii="Arial" w:hAnsi="Arial"/>
                <w:lang w:val="en-US"/>
              </w:rPr>
              <w:t>Note</w:t>
            </w:r>
          </w:p>
        </w:tc>
        <w:tc>
          <w:tcPr>
            <w:tcW w:w="0" w:type="auto"/>
            <w:tcBorders>
              <w:top w:val="nil"/>
              <w:left w:val="nil"/>
              <w:bottom w:val="nil"/>
              <w:right w:val="nil"/>
            </w:tcBorders>
            <w:shd w:val="clear" w:color="auto" w:fill="auto"/>
            <w:noWrap/>
            <w:vAlign w:val="bottom"/>
            <w:hideMark/>
          </w:tcPr>
          <w:p w14:paraId="474210D0"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4C8BCE35"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w:t>
            </w:r>
          </w:p>
        </w:tc>
      </w:tr>
      <w:tr w:rsidR="007A52A3" w:rsidRPr="007A52A3" w14:paraId="0D9980A1" w14:textId="77777777" w:rsidTr="00B9592E">
        <w:trPr>
          <w:trHeight w:val="300"/>
        </w:trPr>
        <w:tc>
          <w:tcPr>
            <w:tcW w:w="0" w:type="auto"/>
            <w:gridSpan w:val="3"/>
            <w:tcBorders>
              <w:top w:val="nil"/>
              <w:left w:val="nil"/>
              <w:bottom w:val="nil"/>
              <w:right w:val="nil"/>
            </w:tcBorders>
            <w:shd w:val="clear" w:color="auto" w:fill="auto"/>
            <w:noWrap/>
            <w:vAlign w:val="bottom"/>
            <w:hideMark/>
          </w:tcPr>
          <w:p w14:paraId="0C9D703F" w14:textId="77777777" w:rsidR="007A52A3" w:rsidRPr="00214121" w:rsidRDefault="007A52A3" w:rsidP="00214121">
            <w:pPr>
              <w:rPr>
                <w:rFonts w:ascii="Arial" w:hAnsi="Arial"/>
                <w:color w:val="000000"/>
                <w:lang w:val="en-US"/>
              </w:rPr>
            </w:pPr>
            <w:r w:rsidRPr="00214121">
              <w:rPr>
                <w:rFonts w:ascii="Arial" w:hAnsi="Arial"/>
                <w:color w:val="000000"/>
                <w:lang w:val="en-US"/>
              </w:rPr>
              <w:t xml:space="preserve">Profit for the year (as previously reported) </w:t>
            </w:r>
          </w:p>
        </w:tc>
        <w:tc>
          <w:tcPr>
            <w:tcW w:w="0" w:type="auto"/>
            <w:tcBorders>
              <w:top w:val="nil"/>
              <w:left w:val="nil"/>
              <w:bottom w:val="nil"/>
              <w:right w:val="nil"/>
            </w:tcBorders>
            <w:shd w:val="clear" w:color="auto" w:fill="auto"/>
            <w:noWrap/>
            <w:vAlign w:val="bottom"/>
            <w:hideMark/>
          </w:tcPr>
          <w:p w14:paraId="0EE7CB26" w14:textId="77777777" w:rsidR="007A52A3" w:rsidRPr="00214121" w:rsidRDefault="007A52A3" w:rsidP="00214121">
            <w:pPr>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6D69355D"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78311257"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 xml:space="preserve">756,178 </w:t>
            </w:r>
          </w:p>
        </w:tc>
      </w:tr>
      <w:tr w:rsidR="007A52A3" w:rsidRPr="007A52A3" w14:paraId="63289ED5" w14:textId="77777777" w:rsidTr="00B9592E">
        <w:trPr>
          <w:trHeight w:val="300"/>
        </w:trPr>
        <w:tc>
          <w:tcPr>
            <w:tcW w:w="0" w:type="auto"/>
            <w:gridSpan w:val="3"/>
            <w:tcBorders>
              <w:top w:val="nil"/>
              <w:left w:val="nil"/>
              <w:bottom w:val="nil"/>
              <w:right w:val="nil"/>
            </w:tcBorders>
            <w:shd w:val="clear" w:color="auto" w:fill="auto"/>
            <w:noWrap/>
            <w:vAlign w:val="bottom"/>
            <w:hideMark/>
          </w:tcPr>
          <w:p w14:paraId="54E85F0D" w14:textId="77777777" w:rsidR="007A52A3" w:rsidRPr="00214121" w:rsidRDefault="007A52A3" w:rsidP="00214121">
            <w:pPr>
              <w:rPr>
                <w:rFonts w:ascii="Arial" w:hAnsi="Arial"/>
                <w:color w:val="000000"/>
                <w:lang w:val="en-US"/>
              </w:rPr>
            </w:pPr>
            <w:r w:rsidRPr="00214121">
              <w:rPr>
                <w:rFonts w:ascii="Arial" w:hAnsi="Arial"/>
                <w:color w:val="000000"/>
                <w:lang w:val="en-US"/>
              </w:rPr>
              <w:t xml:space="preserve">Fair value gain on investment property </w:t>
            </w:r>
          </w:p>
        </w:tc>
        <w:tc>
          <w:tcPr>
            <w:tcW w:w="0" w:type="auto"/>
            <w:tcBorders>
              <w:top w:val="nil"/>
              <w:left w:val="nil"/>
              <w:bottom w:val="nil"/>
              <w:right w:val="nil"/>
            </w:tcBorders>
            <w:shd w:val="clear" w:color="auto" w:fill="auto"/>
            <w:noWrap/>
            <w:vAlign w:val="bottom"/>
            <w:hideMark/>
          </w:tcPr>
          <w:p w14:paraId="71936942" w14:textId="77777777" w:rsidR="007A52A3" w:rsidRPr="00214121" w:rsidRDefault="007A52A3" w:rsidP="00214121">
            <w:pPr>
              <w:jc w:val="center"/>
              <w:rPr>
                <w:rFonts w:ascii="Arial" w:hAnsi="Arial"/>
                <w:color w:val="000000"/>
                <w:lang w:val="en-US"/>
              </w:rPr>
            </w:pPr>
            <w:r w:rsidRPr="00214121">
              <w:rPr>
                <w:rFonts w:ascii="Arial" w:hAnsi="Arial"/>
                <w:color w:val="000000"/>
                <w:lang w:val="en-US"/>
              </w:rPr>
              <w:t xml:space="preserve">2 </w:t>
            </w:r>
          </w:p>
        </w:tc>
        <w:tc>
          <w:tcPr>
            <w:tcW w:w="0" w:type="auto"/>
            <w:tcBorders>
              <w:top w:val="nil"/>
              <w:left w:val="nil"/>
              <w:bottom w:val="nil"/>
              <w:right w:val="nil"/>
            </w:tcBorders>
            <w:shd w:val="clear" w:color="auto" w:fill="auto"/>
            <w:noWrap/>
            <w:vAlign w:val="bottom"/>
            <w:hideMark/>
          </w:tcPr>
          <w:p w14:paraId="3F3A0CA0" w14:textId="77777777" w:rsidR="007A52A3" w:rsidRPr="00214121" w:rsidRDefault="007A52A3" w:rsidP="00214121">
            <w:pPr>
              <w:jc w:val="center"/>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31033583"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 xml:space="preserve">20,000 </w:t>
            </w:r>
          </w:p>
        </w:tc>
      </w:tr>
      <w:tr w:rsidR="007A52A3" w:rsidRPr="007A52A3" w14:paraId="5F6DF2CB" w14:textId="77777777" w:rsidTr="00B9592E">
        <w:trPr>
          <w:trHeight w:val="300"/>
        </w:trPr>
        <w:tc>
          <w:tcPr>
            <w:tcW w:w="0" w:type="auto"/>
            <w:gridSpan w:val="3"/>
            <w:tcBorders>
              <w:top w:val="nil"/>
              <w:left w:val="nil"/>
              <w:bottom w:val="nil"/>
              <w:right w:val="nil"/>
            </w:tcBorders>
            <w:shd w:val="clear" w:color="auto" w:fill="auto"/>
            <w:noWrap/>
            <w:vAlign w:val="bottom"/>
            <w:hideMark/>
          </w:tcPr>
          <w:p w14:paraId="28622CB8" w14:textId="77777777" w:rsidR="007A52A3" w:rsidRPr="00214121" w:rsidRDefault="007A52A3" w:rsidP="00214121">
            <w:pPr>
              <w:rPr>
                <w:rFonts w:ascii="Arial" w:hAnsi="Arial"/>
                <w:color w:val="000000"/>
                <w:lang w:val="en-US"/>
              </w:rPr>
            </w:pPr>
            <w:r w:rsidRPr="00214121">
              <w:rPr>
                <w:rFonts w:ascii="Arial" w:hAnsi="Arial"/>
                <w:color w:val="000000"/>
                <w:lang w:val="en-US"/>
              </w:rPr>
              <w:t xml:space="preserve">Deferred tax on investment property </w:t>
            </w:r>
          </w:p>
        </w:tc>
        <w:tc>
          <w:tcPr>
            <w:tcW w:w="0" w:type="auto"/>
            <w:tcBorders>
              <w:top w:val="nil"/>
              <w:left w:val="nil"/>
              <w:bottom w:val="nil"/>
              <w:right w:val="nil"/>
            </w:tcBorders>
            <w:shd w:val="clear" w:color="auto" w:fill="auto"/>
            <w:noWrap/>
            <w:vAlign w:val="bottom"/>
            <w:hideMark/>
          </w:tcPr>
          <w:p w14:paraId="595A526E" w14:textId="77777777" w:rsidR="007A52A3" w:rsidRPr="00214121" w:rsidRDefault="007A52A3" w:rsidP="00214121">
            <w:pPr>
              <w:jc w:val="center"/>
              <w:rPr>
                <w:rFonts w:ascii="Arial" w:hAnsi="Arial"/>
                <w:color w:val="000000"/>
                <w:lang w:val="en-US"/>
              </w:rPr>
            </w:pPr>
            <w:r w:rsidRPr="00214121">
              <w:rPr>
                <w:rFonts w:ascii="Arial" w:hAnsi="Arial"/>
                <w:color w:val="000000"/>
                <w:lang w:val="en-US"/>
              </w:rPr>
              <w:t xml:space="preserve">2 </w:t>
            </w:r>
          </w:p>
        </w:tc>
        <w:tc>
          <w:tcPr>
            <w:tcW w:w="0" w:type="auto"/>
            <w:tcBorders>
              <w:top w:val="nil"/>
              <w:left w:val="nil"/>
              <w:bottom w:val="nil"/>
              <w:right w:val="nil"/>
            </w:tcBorders>
            <w:shd w:val="clear" w:color="auto" w:fill="auto"/>
            <w:noWrap/>
            <w:vAlign w:val="bottom"/>
            <w:hideMark/>
          </w:tcPr>
          <w:p w14:paraId="791919A7" w14:textId="77777777" w:rsidR="007A52A3" w:rsidRPr="00214121" w:rsidRDefault="007A52A3" w:rsidP="00214121">
            <w:pPr>
              <w:jc w:val="center"/>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52FA17C0"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(4,000)</w:t>
            </w:r>
          </w:p>
        </w:tc>
      </w:tr>
      <w:tr w:rsidR="007A52A3" w:rsidRPr="007A52A3" w14:paraId="5D3020ED" w14:textId="77777777" w:rsidTr="00B9592E">
        <w:trPr>
          <w:trHeight w:val="300"/>
        </w:trPr>
        <w:tc>
          <w:tcPr>
            <w:tcW w:w="0" w:type="auto"/>
            <w:gridSpan w:val="2"/>
            <w:tcBorders>
              <w:top w:val="nil"/>
              <w:left w:val="nil"/>
              <w:bottom w:val="nil"/>
              <w:right w:val="nil"/>
            </w:tcBorders>
            <w:shd w:val="clear" w:color="auto" w:fill="auto"/>
            <w:noWrap/>
            <w:vAlign w:val="bottom"/>
            <w:hideMark/>
          </w:tcPr>
          <w:p w14:paraId="180851FB" w14:textId="77777777" w:rsidR="007A52A3" w:rsidRPr="00214121" w:rsidRDefault="007A52A3" w:rsidP="00214121">
            <w:pPr>
              <w:rPr>
                <w:rFonts w:ascii="Arial" w:hAnsi="Arial"/>
                <w:color w:val="000000"/>
                <w:lang w:val="en-US"/>
              </w:rPr>
            </w:pPr>
            <w:r w:rsidRPr="00214121">
              <w:rPr>
                <w:rFonts w:ascii="Arial" w:hAnsi="Arial"/>
                <w:color w:val="000000"/>
                <w:lang w:val="en-US"/>
              </w:rPr>
              <w:t xml:space="preserve">Short-term compensated absences </w:t>
            </w:r>
          </w:p>
        </w:tc>
        <w:tc>
          <w:tcPr>
            <w:tcW w:w="0" w:type="auto"/>
            <w:tcBorders>
              <w:top w:val="nil"/>
              <w:left w:val="nil"/>
              <w:bottom w:val="nil"/>
              <w:right w:val="nil"/>
            </w:tcBorders>
            <w:shd w:val="clear" w:color="auto" w:fill="auto"/>
            <w:noWrap/>
            <w:vAlign w:val="bottom"/>
            <w:hideMark/>
          </w:tcPr>
          <w:p w14:paraId="123DC3CE" w14:textId="77777777" w:rsidR="007A52A3" w:rsidRPr="00214121" w:rsidRDefault="007A52A3" w:rsidP="00214121">
            <w:pPr>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668D8376" w14:textId="77777777" w:rsidR="007A52A3" w:rsidRPr="00214121" w:rsidRDefault="007A52A3" w:rsidP="00214121">
            <w:pPr>
              <w:jc w:val="center"/>
              <w:rPr>
                <w:rFonts w:ascii="Arial" w:hAnsi="Arial"/>
                <w:color w:val="000000"/>
                <w:lang w:val="en-US"/>
              </w:rPr>
            </w:pPr>
            <w:r w:rsidRPr="00214121">
              <w:rPr>
                <w:rFonts w:ascii="Arial" w:hAnsi="Arial"/>
                <w:color w:val="000000"/>
                <w:lang w:val="en-US"/>
              </w:rPr>
              <w:t xml:space="preserve">1 </w:t>
            </w:r>
          </w:p>
        </w:tc>
        <w:tc>
          <w:tcPr>
            <w:tcW w:w="0" w:type="auto"/>
            <w:tcBorders>
              <w:top w:val="nil"/>
              <w:left w:val="nil"/>
              <w:bottom w:val="nil"/>
              <w:right w:val="nil"/>
            </w:tcBorders>
            <w:shd w:val="clear" w:color="auto" w:fill="auto"/>
            <w:noWrap/>
            <w:vAlign w:val="bottom"/>
            <w:hideMark/>
          </w:tcPr>
          <w:p w14:paraId="5DF92699" w14:textId="77777777" w:rsidR="007A52A3" w:rsidRPr="00214121" w:rsidRDefault="007A52A3" w:rsidP="00214121">
            <w:pPr>
              <w:jc w:val="center"/>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3A4AA887"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(1,300)</w:t>
            </w:r>
          </w:p>
        </w:tc>
      </w:tr>
      <w:tr w:rsidR="007A52A3" w:rsidRPr="007A52A3" w14:paraId="6CC802A7" w14:textId="77777777" w:rsidTr="00B9592E">
        <w:trPr>
          <w:trHeight w:val="320"/>
        </w:trPr>
        <w:tc>
          <w:tcPr>
            <w:tcW w:w="0" w:type="auto"/>
            <w:gridSpan w:val="2"/>
            <w:tcBorders>
              <w:top w:val="nil"/>
              <w:left w:val="nil"/>
              <w:bottom w:val="nil"/>
              <w:right w:val="nil"/>
            </w:tcBorders>
            <w:shd w:val="clear" w:color="auto" w:fill="auto"/>
            <w:noWrap/>
            <w:vAlign w:val="bottom"/>
            <w:hideMark/>
          </w:tcPr>
          <w:p w14:paraId="1A6C14CB" w14:textId="77777777" w:rsidR="007A52A3" w:rsidRPr="00214121" w:rsidRDefault="007A52A3" w:rsidP="00214121">
            <w:pPr>
              <w:rPr>
                <w:rFonts w:ascii="Arial" w:hAnsi="Arial"/>
                <w:color w:val="000000"/>
                <w:lang w:val="en-US"/>
              </w:rPr>
            </w:pPr>
            <w:r w:rsidRPr="00214121">
              <w:rPr>
                <w:rFonts w:ascii="Arial" w:hAnsi="Arial"/>
                <w:color w:val="000000"/>
                <w:lang w:val="en-US"/>
              </w:rPr>
              <w:t>Profit for the year (as restated)</w:t>
            </w:r>
          </w:p>
        </w:tc>
        <w:tc>
          <w:tcPr>
            <w:tcW w:w="0" w:type="auto"/>
            <w:tcBorders>
              <w:top w:val="nil"/>
              <w:left w:val="nil"/>
              <w:bottom w:val="nil"/>
              <w:right w:val="nil"/>
            </w:tcBorders>
            <w:shd w:val="clear" w:color="auto" w:fill="auto"/>
            <w:noWrap/>
            <w:vAlign w:val="bottom"/>
            <w:hideMark/>
          </w:tcPr>
          <w:p w14:paraId="3F666A6A" w14:textId="77777777" w:rsidR="007A52A3" w:rsidRPr="00214121" w:rsidRDefault="007A52A3" w:rsidP="00214121">
            <w:pPr>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570D46F6"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33683F22" w14:textId="77777777" w:rsidR="007A52A3" w:rsidRPr="00214121" w:rsidRDefault="007A52A3" w:rsidP="00214121">
            <w:pPr>
              <w:jc w:val="center"/>
              <w:rPr>
                <w:rFonts w:ascii="Arial" w:hAnsi="Arial"/>
                <w:lang w:val="en-US"/>
              </w:rPr>
            </w:pPr>
          </w:p>
        </w:tc>
        <w:tc>
          <w:tcPr>
            <w:tcW w:w="0" w:type="auto"/>
            <w:tcBorders>
              <w:top w:val="single" w:sz="4" w:space="0" w:color="auto"/>
              <w:left w:val="nil"/>
              <w:bottom w:val="double" w:sz="6" w:space="0" w:color="auto"/>
              <w:right w:val="nil"/>
            </w:tcBorders>
            <w:shd w:val="clear" w:color="auto" w:fill="auto"/>
            <w:noWrap/>
            <w:vAlign w:val="bottom"/>
            <w:hideMark/>
          </w:tcPr>
          <w:p w14:paraId="414AC72E"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 xml:space="preserve">770,878 </w:t>
            </w:r>
          </w:p>
        </w:tc>
      </w:tr>
    </w:tbl>
    <w:p w14:paraId="501AC3CB" w14:textId="77777777" w:rsidR="007A52A3" w:rsidRPr="00214121" w:rsidRDefault="007A52A3" w:rsidP="00214121">
      <w:pPr>
        <w:spacing w:line="360" w:lineRule="auto"/>
        <w:rPr>
          <w:rFonts w:ascii="Arial" w:hAnsi="Arial"/>
          <w:b/>
        </w:rPr>
      </w:pPr>
    </w:p>
    <w:p w14:paraId="5C5F8AFF" w14:textId="77777777" w:rsidR="001A0A97" w:rsidRDefault="001A0A97">
      <w:pPr>
        <w:rPr>
          <w:rFonts w:ascii="Arial" w:hAnsi="Arial"/>
          <w:b/>
        </w:rPr>
      </w:pPr>
      <w:r>
        <w:rPr>
          <w:rFonts w:ascii="Arial" w:hAnsi="Arial"/>
          <w:b/>
        </w:rPr>
        <w:br w:type="page"/>
      </w:r>
    </w:p>
    <w:p w14:paraId="2DD617CB" w14:textId="4125A609" w:rsidR="007A52A3" w:rsidRPr="00214121" w:rsidRDefault="007A52A3" w:rsidP="00214121">
      <w:pPr>
        <w:spacing w:line="360" w:lineRule="auto"/>
        <w:rPr>
          <w:rFonts w:ascii="Arial" w:hAnsi="Arial"/>
        </w:rPr>
      </w:pPr>
      <w:r w:rsidRPr="00214121">
        <w:rPr>
          <w:rFonts w:ascii="Arial" w:hAnsi="Arial"/>
          <w:b/>
        </w:rPr>
        <w:lastRenderedPageBreak/>
        <w:t>*</w:t>
      </w:r>
      <w:r w:rsidRPr="00214121">
        <w:rPr>
          <w:rFonts w:ascii="Arial" w:hAnsi="Arial"/>
        </w:rPr>
        <w:t>For clarity, this figure can be proved as follows:</w:t>
      </w:r>
    </w:p>
    <w:tbl>
      <w:tblPr>
        <w:tblW w:w="0" w:type="auto"/>
        <w:tblLook w:val="04A0" w:firstRow="1" w:lastRow="0" w:firstColumn="1" w:lastColumn="0" w:noHBand="0" w:noVBand="1"/>
      </w:tblPr>
      <w:tblGrid>
        <w:gridCol w:w="1876"/>
        <w:gridCol w:w="1876"/>
        <w:gridCol w:w="1811"/>
        <w:gridCol w:w="222"/>
        <w:gridCol w:w="222"/>
        <w:gridCol w:w="1284"/>
      </w:tblGrid>
      <w:tr w:rsidR="007A52A3" w:rsidRPr="007A52A3" w14:paraId="3C6D5473" w14:textId="77777777" w:rsidTr="00214121">
        <w:trPr>
          <w:trHeight w:val="320"/>
        </w:trPr>
        <w:tc>
          <w:tcPr>
            <w:tcW w:w="0" w:type="auto"/>
            <w:tcBorders>
              <w:top w:val="nil"/>
              <w:left w:val="nil"/>
              <w:bottom w:val="nil"/>
              <w:right w:val="nil"/>
            </w:tcBorders>
            <w:shd w:val="clear" w:color="auto" w:fill="auto"/>
            <w:noWrap/>
            <w:vAlign w:val="bottom"/>
            <w:hideMark/>
          </w:tcPr>
          <w:p w14:paraId="095B8072"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165B43A6"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463EED8D"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772C278A"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73F5D9DB" w14:textId="77777777" w:rsidR="007A52A3" w:rsidRPr="00214121" w:rsidRDefault="007A52A3" w:rsidP="00214121">
            <w:pPr>
              <w:jc w:val="center"/>
              <w:rPr>
                <w:rFonts w:ascii="Arial" w:hAnsi="Arial"/>
                <w:lang w:val="en-US"/>
              </w:rPr>
            </w:pPr>
          </w:p>
        </w:tc>
        <w:tc>
          <w:tcPr>
            <w:tcW w:w="1284" w:type="dxa"/>
            <w:tcBorders>
              <w:top w:val="nil"/>
              <w:left w:val="nil"/>
              <w:bottom w:val="nil"/>
              <w:right w:val="nil"/>
            </w:tcBorders>
            <w:shd w:val="clear" w:color="auto" w:fill="auto"/>
            <w:noWrap/>
            <w:vAlign w:val="bottom"/>
            <w:hideMark/>
          </w:tcPr>
          <w:p w14:paraId="39B3A929"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w:t>
            </w:r>
          </w:p>
        </w:tc>
      </w:tr>
      <w:tr w:rsidR="007A52A3" w:rsidRPr="007A52A3" w14:paraId="782A0922" w14:textId="77777777" w:rsidTr="00214121">
        <w:trPr>
          <w:trHeight w:val="300"/>
        </w:trPr>
        <w:tc>
          <w:tcPr>
            <w:tcW w:w="0" w:type="auto"/>
            <w:gridSpan w:val="3"/>
            <w:tcBorders>
              <w:top w:val="nil"/>
              <w:left w:val="nil"/>
              <w:bottom w:val="nil"/>
              <w:right w:val="nil"/>
            </w:tcBorders>
            <w:shd w:val="clear" w:color="auto" w:fill="auto"/>
            <w:noWrap/>
            <w:vAlign w:val="bottom"/>
            <w:hideMark/>
          </w:tcPr>
          <w:p w14:paraId="494D8F5A" w14:textId="77777777" w:rsidR="007A52A3" w:rsidRPr="00214121" w:rsidRDefault="007A52A3" w:rsidP="00214121">
            <w:pPr>
              <w:rPr>
                <w:rFonts w:ascii="Arial" w:hAnsi="Arial"/>
                <w:color w:val="000000"/>
                <w:lang w:val="en-US"/>
              </w:rPr>
            </w:pPr>
            <w:r w:rsidRPr="00214121">
              <w:rPr>
                <w:rFonts w:ascii="Arial" w:hAnsi="Arial"/>
                <w:color w:val="000000"/>
                <w:lang w:val="en-US"/>
              </w:rPr>
              <w:t xml:space="preserve">Capital and reserves per FRS 102 at 1 May 2015 </w:t>
            </w:r>
          </w:p>
        </w:tc>
        <w:tc>
          <w:tcPr>
            <w:tcW w:w="0" w:type="auto"/>
            <w:tcBorders>
              <w:top w:val="nil"/>
              <w:left w:val="nil"/>
              <w:bottom w:val="nil"/>
              <w:right w:val="nil"/>
            </w:tcBorders>
            <w:shd w:val="clear" w:color="auto" w:fill="auto"/>
            <w:noWrap/>
            <w:vAlign w:val="bottom"/>
            <w:hideMark/>
          </w:tcPr>
          <w:p w14:paraId="3F8145CA" w14:textId="77777777" w:rsidR="007A52A3" w:rsidRPr="00214121" w:rsidRDefault="007A52A3" w:rsidP="00214121">
            <w:pPr>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5D5F24E8" w14:textId="77777777" w:rsidR="007A52A3" w:rsidRPr="00214121" w:rsidRDefault="007A52A3" w:rsidP="00214121">
            <w:pPr>
              <w:jc w:val="center"/>
              <w:rPr>
                <w:rFonts w:ascii="Arial" w:hAnsi="Arial"/>
                <w:lang w:val="en-US"/>
              </w:rPr>
            </w:pPr>
          </w:p>
        </w:tc>
        <w:tc>
          <w:tcPr>
            <w:tcW w:w="1284" w:type="dxa"/>
            <w:tcBorders>
              <w:top w:val="nil"/>
              <w:left w:val="nil"/>
              <w:bottom w:val="nil"/>
              <w:right w:val="nil"/>
            </w:tcBorders>
            <w:shd w:val="clear" w:color="auto" w:fill="auto"/>
            <w:noWrap/>
            <w:vAlign w:val="bottom"/>
            <w:hideMark/>
          </w:tcPr>
          <w:p w14:paraId="2617BFE9"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 xml:space="preserve">1,754,409 </w:t>
            </w:r>
          </w:p>
        </w:tc>
      </w:tr>
      <w:tr w:rsidR="007A52A3" w:rsidRPr="007A52A3" w14:paraId="4D8ACC72" w14:textId="77777777" w:rsidTr="00214121">
        <w:trPr>
          <w:trHeight w:val="300"/>
        </w:trPr>
        <w:tc>
          <w:tcPr>
            <w:tcW w:w="0" w:type="auto"/>
            <w:gridSpan w:val="2"/>
            <w:tcBorders>
              <w:top w:val="nil"/>
              <w:left w:val="nil"/>
              <w:bottom w:val="nil"/>
              <w:right w:val="nil"/>
            </w:tcBorders>
            <w:shd w:val="clear" w:color="auto" w:fill="auto"/>
            <w:noWrap/>
            <w:vAlign w:val="bottom"/>
            <w:hideMark/>
          </w:tcPr>
          <w:p w14:paraId="7FAD6618" w14:textId="77777777" w:rsidR="007A52A3" w:rsidRPr="00214121" w:rsidRDefault="007A52A3" w:rsidP="00214121">
            <w:pPr>
              <w:rPr>
                <w:rFonts w:ascii="Arial" w:hAnsi="Arial"/>
                <w:color w:val="000000"/>
                <w:lang w:val="en-US"/>
              </w:rPr>
            </w:pPr>
            <w:r w:rsidRPr="00214121">
              <w:rPr>
                <w:rFonts w:ascii="Arial" w:hAnsi="Arial"/>
                <w:color w:val="000000"/>
                <w:lang w:val="en-US"/>
              </w:rPr>
              <w:t xml:space="preserve">Profit for the year under FRS 102 </w:t>
            </w:r>
          </w:p>
        </w:tc>
        <w:tc>
          <w:tcPr>
            <w:tcW w:w="0" w:type="auto"/>
            <w:tcBorders>
              <w:top w:val="nil"/>
              <w:left w:val="nil"/>
              <w:bottom w:val="nil"/>
              <w:right w:val="nil"/>
            </w:tcBorders>
            <w:shd w:val="clear" w:color="auto" w:fill="auto"/>
            <w:noWrap/>
            <w:vAlign w:val="bottom"/>
            <w:hideMark/>
          </w:tcPr>
          <w:p w14:paraId="3A329397" w14:textId="77777777" w:rsidR="007A52A3" w:rsidRPr="00214121" w:rsidRDefault="007A52A3" w:rsidP="00214121">
            <w:pPr>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4154DED9" w14:textId="77777777" w:rsidR="007A52A3" w:rsidRPr="00214121" w:rsidRDefault="007A52A3" w:rsidP="00214121">
            <w:pPr>
              <w:rPr>
                <w:rFonts w:ascii="Arial" w:hAnsi="Arial"/>
                <w:lang w:val="en-US"/>
              </w:rPr>
            </w:pPr>
          </w:p>
        </w:tc>
        <w:tc>
          <w:tcPr>
            <w:tcW w:w="0" w:type="auto"/>
            <w:tcBorders>
              <w:top w:val="nil"/>
              <w:left w:val="nil"/>
              <w:bottom w:val="nil"/>
              <w:right w:val="nil"/>
            </w:tcBorders>
            <w:shd w:val="clear" w:color="auto" w:fill="auto"/>
            <w:noWrap/>
            <w:vAlign w:val="bottom"/>
            <w:hideMark/>
          </w:tcPr>
          <w:p w14:paraId="6FF6003F" w14:textId="77777777" w:rsidR="007A52A3" w:rsidRPr="00214121" w:rsidRDefault="007A52A3" w:rsidP="00214121">
            <w:pPr>
              <w:jc w:val="center"/>
              <w:rPr>
                <w:rFonts w:ascii="Arial" w:hAnsi="Arial"/>
                <w:lang w:val="en-US"/>
              </w:rPr>
            </w:pPr>
          </w:p>
        </w:tc>
        <w:tc>
          <w:tcPr>
            <w:tcW w:w="1284" w:type="dxa"/>
            <w:tcBorders>
              <w:top w:val="nil"/>
              <w:left w:val="nil"/>
              <w:bottom w:val="nil"/>
              <w:right w:val="nil"/>
            </w:tcBorders>
            <w:shd w:val="clear" w:color="auto" w:fill="auto"/>
            <w:noWrap/>
            <w:vAlign w:val="bottom"/>
            <w:hideMark/>
          </w:tcPr>
          <w:p w14:paraId="4B7473C9"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 xml:space="preserve">770,878 </w:t>
            </w:r>
          </w:p>
        </w:tc>
      </w:tr>
      <w:tr w:rsidR="007A52A3" w:rsidRPr="007A52A3" w14:paraId="52590BF5" w14:textId="77777777" w:rsidTr="00214121">
        <w:trPr>
          <w:trHeight w:val="320"/>
        </w:trPr>
        <w:tc>
          <w:tcPr>
            <w:tcW w:w="0" w:type="auto"/>
            <w:gridSpan w:val="3"/>
            <w:tcBorders>
              <w:top w:val="nil"/>
              <w:left w:val="nil"/>
              <w:bottom w:val="nil"/>
              <w:right w:val="nil"/>
            </w:tcBorders>
            <w:shd w:val="clear" w:color="auto" w:fill="auto"/>
            <w:noWrap/>
            <w:vAlign w:val="bottom"/>
            <w:hideMark/>
          </w:tcPr>
          <w:p w14:paraId="60D216DE" w14:textId="77777777" w:rsidR="007A52A3" w:rsidRPr="00214121" w:rsidRDefault="007A52A3" w:rsidP="00214121">
            <w:pPr>
              <w:rPr>
                <w:rFonts w:ascii="Arial" w:hAnsi="Arial"/>
                <w:color w:val="000000"/>
                <w:lang w:val="en-US"/>
              </w:rPr>
            </w:pPr>
            <w:r w:rsidRPr="00214121">
              <w:rPr>
                <w:rFonts w:ascii="Arial" w:hAnsi="Arial"/>
                <w:color w:val="000000"/>
                <w:lang w:val="en-US"/>
              </w:rPr>
              <w:t xml:space="preserve">Capital and reserves at 30 April 2016 </w:t>
            </w:r>
          </w:p>
        </w:tc>
        <w:tc>
          <w:tcPr>
            <w:tcW w:w="0" w:type="auto"/>
            <w:tcBorders>
              <w:top w:val="nil"/>
              <w:left w:val="nil"/>
              <w:bottom w:val="nil"/>
              <w:right w:val="nil"/>
            </w:tcBorders>
            <w:shd w:val="clear" w:color="auto" w:fill="auto"/>
            <w:noWrap/>
            <w:vAlign w:val="bottom"/>
            <w:hideMark/>
          </w:tcPr>
          <w:p w14:paraId="76C41A3D" w14:textId="77777777" w:rsidR="007A52A3" w:rsidRPr="00214121" w:rsidRDefault="007A52A3" w:rsidP="00214121">
            <w:pPr>
              <w:rPr>
                <w:rFonts w:ascii="Arial" w:hAnsi="Arial"/>
                <w:color w:val="000000"/>
                <w:lang w:val="en-US"/>
              </w:rPr>
            </w:pPr>
          </w:p>
        </w:tc>
        <w:tc>
          <w:tcPr>
            <w:tcW w:w="0" w:type="auto"/>
            <w:tcBorders>
              <w:top w:val="nil"/>
              <w:left w:val="nil"/>
              <w:bottom w:val="nil"/>
              <w:right w:val="nil"/>
            </w:tcBorders>
            <w:shd w:val="clear" w:color="auto" w:fill="auto"/>
            <w:noWrap/>
            <w:vAlign w:val="bottom"/>
            <w:hideMark/>
          </w:tcPr>
          <w:p w14:paraId="5C2F7CF6" w14:textId="77777777" w:rsidR="007A52A3" w:rsidRPr="00214121" w:rsidRDefault="007A52A3" w:rsidP="00214121">
            <w:pPr>
              <w:rPr>
                <w:rFonts w:ascii="Arial" w:hAnsi="Arial"/>
                <w:lang w:val="en-US"/>
              </w:rPr>
            </w:pPr>
          </w:p>
        </w:tc>
        <w:tc>
          <w:tcPr>
            <w:tcW w:w="1284" w:type="dxa"/>
            <w:tcBorders>
              <w:top w:val="single" w:sz="4" w:space="0" w:color="auto"/>
              <w:left w:val="nil"/>
              <w:bottom w:val="double" w:sz="6" w:space="0" w:color="auto"/>
              <w:right w:val="nil"/>
            </w:tcBorders>
            <w:shd w:val="clear" w:color="auto" w:fill="auto"/>
            <w:noWrap/>
            <w:vAlign w:val="bottom"/>
            <w:hideMark/>
          </w:tcPr>
          <w:p w14:paraId="24D9CB4D" w14:textId="77777777" w:rsidR="007A52A3" w:rsidRPr="00214121" w:rsidRDefault="007A52A3" w:rsidP="00214121">
            <w:pPr>
              <w:jc w:val="right"/>
              <w:rPr>
                <w:rFonts w:ascii="Arial" w:hAnsi="Arial"/>
                <w:color w:val="000000"/>
                <w:lang w:val="en-US"/>
              </w:rPr>
            </w:pPr>
            <w:r w:rsidRPr="00214121">
              <w:rPr>
                <w:rFonts w:ascii="Arial" w:hAnsi="Arial"/>
                <w:color w:val="000000"/>
                <w:lang w:val="en-US"/>
              </w:rPr>
              <w:t xml:space="preserve">2,525,287 </w:t>
            </w:r>
          </w:p>
        </w:tc>
      </w:tr>
    </w:tbl>
    <w:p w14:paraId="41523157" w14:textId="77777777" w:rsidR="006B4E57" w:rsidRPr="00214121" w:rsidRDefault="006B4E57" w:rsidP="00214121">
      <w:pPr>
        <w:spacing w:line="360" w:lineRule="auto"/>
        <w:rPr>
          <w:rFonts w:ascii="Arial" w:hAnsi="Arial"/>
          <w:b/>
        </w:rPr>
      </w:pPr>
    </w:p>
    <w:p w14:paraId="18A1DBD2" w14:textId="742D8007" w:rsidR="007A52A3" w:rsidRPr="00214121" w:rsidRDefault="006B4E57" w:rsidP="00214121">
      <w:pPr>
        <w:spacing w:line="360" w:lineRule="auto"/>
        <w:rPr>
          <w:rFonts w:ascii="Arial" w:hAnsi="Arial"/>
          <w:b/>
        </w:rPr>
      </w:pPr>
      <w:r>
        <w:rPr>
          <w:rFonts w:ascii="Arial" w:hAnsi="Arial"/>
          <w:b/>
        </w:rPr>
        <w:t>Notes to the reconciliations</w:t>
      </w:r>
    </w:p>
    <w:p w14:paraId="6A9D831F" w14:textId="506B596B" w:rsidR="007A52A3" w:rsidRPr="00214121" w:rsidRDefault="006B4E57" w:rsidP="00214121">
      <w:pPr>
        <w:spacing w:line="360" w:lineRule="auto"/>
        <w:rPr>
          <w:rFonts w:ascii="Arial" w:hAnsi="Arial"/>
          <w:i/>
        </w:rPr>
      </w:pPr>
      <w:r w:rsidRPr="00214121">
        <w:rPr>
          <w:rFonts w:ascii="Arial" w:hAnsi="Arial"/>
          <w:i/>
        </w:rPr>
        <w:t xml:space="preserve">1. </w:t>
      </w:r>
      <w:r w:rsidR="007A52A3" w:rsidRPr="00214121">
        <w:rPr>
          <w:rFonts w:ascii="Arial" w:hAnsi="Arial"/>
          <w:i/>
        </w:rPr>
        <w:t>Short-term compensated absences</w:t>
      </w:r>
    </w:p>
    <w:p w14:paraId="37BC3845" w14:textId="4A87C2DA" w:rsidR="007A52A3" w:rsidRPr="00214121" w:rsidRDefault="007A52A3" w:rsidP="00214121">
      <w:pPr>
        <w:spacing w:line="360" w:lineRule="auto"/>
        <w:rPr>
          <w:rFonts w:ascii="Arial" w:hAnsi="Arial"/>
        </w:rPr>
      </w:pPr>
      <w:r w:rsidRPr="00214121">
        <w:rPr>
          <w:rFonts w:ascii="Arial" w:hAnsi="Arial"/>
        </w:rPr>
        <w:t>Prior to applying FRS 102, Smallco Ltd did not make provision for holiday pay (</w:t>
      </w:r>
      <w:r w:rsidR="00F93736">
        <w:rPr>
          <w:rFonts w:ascii="Arial" w:hAnsi="Arial"/>
        </w:rPr>
        <w:t>ie</w:t>
      </w:r>
      <w:r w:rsidRPr="00214121">
        <w:rPr>
          <w:rFonts w:ascii="Arial" w:hAnsi="Arial"/>
        </w:rPr>
        <w:t xml:space="preserve"> holiday earned but not taken prior to the year</w:t>
      </w:r>
      <w:r w:rsidR="00F93736">
        <w:rPr>
          <w:rFonts w:ascii="Arial" w:hAnsi="Arial"/>
        </w:rPr>
        <w:t xml:space="preserve"> </w:t>
      </w:r>
      <w:r w:rsidRPr="00214121">
        <w:rPr>
          <w:rFonts w:ascii="Arial" w:hAnsi="Arial"/>
        </w:rPr>
        <w:t>end).</w:t>
      </w:r>
      <w:r>
        <w:rPr>
          <w:rFonts w:ascii="Arial" w:hAnsi="Arial"/>
        </w:rPr>
        <w:t xml:space="preserve"> </w:t>
      </w:r>
      <w:r w:rsidRPr="00214121">
        <w:rPr>
          <w:rFonts w:ascii="Arial" w:hAnsi="Arial"/>
        </w:rPr>
        <w:t>FRS 102 requires the cost of short-term compensated absences to be recognised when employees render the service that increases their entitlement.</w:t>
      </w:r>
      <w:r>
        <w:rPr>
          <w:rFonts w:ascii="Arial" w:hAnsi="Arial"/>
        </w:rPr>
        <w:t xml:space="preserve"> </w:t>
      </w:r>
      <w:r w:rsidRPr="00214121">
        <w:rPr>
          <w:rFonts w:ascii="Arial" w:hAnsi="Arial"/>
        </w:rPr>
        <w:t>Consequently, an additional accrual of £7,200 at 1 May 2015 has been made to reflect this.</w:t>
      </w:r>
      <w:r>
        <w:rPr>
          <w:rFonts w:ascii="Arial" w:hAnsi="Arial"/>
        </w:rPr>
        <w:t xml:space="preserve"> </w:t>
      </w:r>
      <w:r w:rsidRPr="00214121">
        <w:rPr>
          <w:rFonts w:ascii="Arial" w:hAnsi="Arial"/>
        </w:rPr>
        <w:t>The additional provision at 30 April 2016 is £8,500 and the effect on profit for the year</w:t>
      </w:r>
      <w:r w:rsidR="00F93736">
        <w:rPr>
          <w:rFonts w:ascii="Arial" w:hAnsi="Arial"/>
        </w:rPr>
        <w:t xml:space="preserve"> </w:t>
      </w:r>
      <w:r w:rsidRPr="00214121">
        <w:rPr>
          <w:rFonts w:ascii="Arial" w:hAnsi="Arial"/>
        </w:rPr>
        <w:t>ended 30 April 2015 is an additional expense of £1,300.</w:t>
      </w:r>
    </w:p>
    <w:p w14:paraId="4AC77A25" w14:textId="77777777" w:rsidR="007A52A3" w:rsidRPr="00214121" w:rsidRDefault="007A52A3" w:rsidP="00214121">
      <w:pPr>
        <w:spacing w:line="360" w:lineRule="auto"/>
        <w:ind w:left="720"/>
        <w:rPr>
          <w:rFonts w:ascii="Arial" w:hAnsi="Arial"/>
        </w:rPr>
      </w:pPr>
    </w:p>
    <w:p w14:paraId="61A5B76E" w14:textId="3C208BAC" w:rsidR="007A52A3" w:rsidRPr="00214121" w:rsidRDefault="00F93736" w:rsidP="00214121">
      <w:pPr>
        <w:spacing w:line="360" w:lineRule="auto"/>
        <w:rPr>
          <w:rFonts w:ascii="Arial" w:hAnsi="Arial"/>
          <w:b/>
        </w:rPr>
      </w:pPr>
      <w:r w:rsidRPr="00214121">
        <w:rPr>
          <w:rFonts w:ascii="Arial" w:hAnsi="Arial"/>
          <w:b/>
        </w:rPr>
        <w:t xml:space="preserve">2. </w:t>
      </w:r>
      <w:r w:rsidR="007A52A3" w:rsidRPr="00214121">
        <w:rPr>
          <w:rFonts w:ascii="Arial" w:hAnsi="Arial"/>
          <w:b/>
        </w:rPr>
        <w:t>Investment property</w:t>
      </w:r>
    </w:p>
    <w:p w14:paraId="2D7AD692" w14:textId="7F93338F" w:rsidR="007A52A3" w:rsidRPr="00214121" w:rsidRDefault="007A52A3" w:rsidP="00214121">
      <w:pPr>
        <w:spacing w:line="360" w:lineRule="auto"/>
        <w:rPr>
          <w:rFonts w:ascii="Arial" w:hAnsi="Arial"/>
        </w:rPr>
      </w:pPr>
      <w:r w:rsidRPr="00214121">
        <w:rPr>
          <w:rFonts w:ascii="Arial" w:hAnsi="Arial"/>
        </w:rPr>
        <w:t xml:space="preserve">The investment property was previously accounted for under the </w:t>
      </w:r>
      <w:r w:rsidRPr="00214121">
        <w:rPr>
          <w:rFonts w:ascii="Arial" w:hAnsi="Arial"/>
          <w:i/>
        </w:rPr>
        <w:t>FRSSE</w:t>
      </w:r>
      <w:r w:rsidRPr="00214121">
        <w:rPr>
          <w:rFonts w:ascii="Arial" w:hAnsi="Arial"/>
        </w:rPr>
        <w:t xml:space="preserve"> (effective January 2015)</w:t>
      </w:r>
      <w:r w:rsidR="004A7A0C">
        <w:rPr>
          <w:rFonts w:ascii="Arial" w:hAnsi="Arial"/>
        </w:rPr>
        <w:t>,</w:t>
      </w:r>
      <w:r w:rsidRPr="00214121">
        <w:rPr>
          <w:rFonts w:ascii="Arial" w:hAnsi="Arial"/>
          <w:i/>
        </w:rPr>
        <w:t xml:space="preserve"> </w:t>
      </w:r>
      <w:r w:rsidRPr="00214121">
        <w:rPr>
          <w:rFonts w:ascii="Arial" w:hAnsi="Arial"/>
        </w:rPr>
        <w:t>which required gains and losses on the property’s open market value to be taken to a revalue reserve in equity.</w:t>
      </w:r>
      <w:r>
        <w:rPr>
          <w:rFonts w:ascii="Arial" w:hAnsi="Arial"/>
        </w:rPr>
        <w:t xml:space="preserve"> </w:t>
      </w:r>
      <w:r w:rsidRPr="00214121">
        <w:rPr>
          <w:rFonts w:ascii="Arial" w:hAnsi="Arial"/>
        </w:rPr>
        <w:t>The property is being measured at fair value under FRS 102 and fair value gains and losses are reported in profit or loss.</w:t>
      </w:r>
      <w:r>
        <w:rPr>
          <w:rFonts w:ascii="Arial" w:hAnsi="Arial"/>
        </w:rPr>
        <w:t xml:space="preserve"> </w:t>
      </w:r>
      <w:r w:rsidRPr="00214121">
        <w:rPr>
          <w:rFonts w:ascii="Arial" w:hAnsi="Arial"/>
        </w:rPr>
        <w:t xml:space="preserve">FRS 102 also requires deferred tax to be accounted for on assets </w:t>
      </w:r>
      <w:r w:rsidR="004A7A0C">
        <w:rPr>
          <w:rFonts w:ascii="Arial" w:hAnsi="Arial"/>
        </w:rPr>
        <w:t>that</w:t>
      </w:r>
      <w:r w:rsidRPr="00214121">
        <w:rPr>
          <w:rFonts w:ascii="Arial" w:hAnsi="Arial"/>
        </w:rPr>
        <w:t xml:space="preserve"> are subject to revaluation.</w:t>
      </w:r>
      <w:r>
        <w:rPr>
          <w:rFonts w:ascii="Arial" w:hAnsi="Arial"/>
        </w:rPr>
        <w:t xml:space="preserve"> </w:t>
      </w:r>
      <w:r w:rsidRPr="00214121">
        <w:rPr>
          <w:rFonts w:ascii="Arial" w:hAnsi="Arial"/>
        </w:rPr>
        <w:t>Consequently, additional deferred tax of £17,040 was recognised at 1 May 2015 to reflect the provisions of FRS 102.</w:t>
      </w:r>
      <w:r>
        <w:rPr>
          <w:rFonts w:ascii="Arial" w:hAnsi="Arial"/>
        </w:rPr>
        <w:t xml:space="preserve"> </w:t>
      </w:r>
      <w:r w:rsidRPr="00214121">
        <w:rPr>
          <w:rFonts w:ascii="Arial" w:hAnsi="Arial"/>
        </w:rPr>
        <w:t>An additional provision for deferred tax has been recognised at 30 April 2016 amounting to £4,000.</w:t>
      </w:r>
      <w:r>
        <w:rPr>
          <w:rFonts w:ascii="Arial" w:hAnsi="Arial"/>
        </w:rPr>
        <w:t xml:space="preserve"> </w:t>
      </w:r>
      <w:r w:rsidRPr="00214121">
        <w:rPr>
          <w:rFonts w:ascii="Arial" w:hAnsi="Arial"/>
        </w:rPr>
        <w:t>The gain on revaluation at 30 April 2016 has been reported in profit or loss and the effect on profit for the year-ended 30 April 2016 is an increase in profit of 16,000.</w:t>
      </w:r>
    </w:p>
    <w:p w14:paraId="5C86702F" w14:textId="77777777" w:rsidR="007A52A3" w:rsidRDefault="007A52A3" w:rsidP="00214121">
      <w:pPr>
        <w:spacing w:line="360" w:lineRule="auto"/>
        <w:rPr>
          <w:rFonts w:ascii="Arial" w:hAnsi="Arial"/>
          <w:b/>
        </w:rPr>
      </w:pPr>
    </w:p>
    <w:p w14:paraId="24B2928E" w14:textId="77777777" w:rsidR="001A0A97" w:rsidRDefault="001A0A97" w:rsidP="00214121">
      <w:pPr>
        <w:spacing w:line="360" w:lineRule="auto"/>
        <w:rPr>
          <w:rFonts w:ascii="Arial" w:hAnsi="Arial"/>
          <w:b/>
        </w:rPr>
      </w:pPr>
    </w:p>
    <w:p w14:paraId="71AD1458" w14:textId="77777777" w:rsidR="001A0A97" w:rsidRDefault="001A0A97" w:rsidP="00214121">
      <w:pPr>
        <w:spacing w:line="360" w:lineRule="auto"/>
        <w:rPr>
          <w:rFonts w:ascii="Arial" w:hAnsi="Arial"/>
          <w:b/>
        </w:rPr>
      </w:pPr>
    </w:p>
    <w:p w14:paraId="17F26E1B" w14:textId="77777777" w:rsidR="001A0A97" w:rsidRDefault="001A0A97" w:rsidP="00214121">
      <w:pPr>
        <w:spacing w:line="360" w:lineRule="auto"/>
        <w:rPr>
          <w:rFonts w:ascii="Arial" w:hAnsi="Arial"/>
          <w:b/>
        </w:rPr>
      </w:pPr>
    </w:p>
    <w:p w14:paraId="4A76B848" w14:textId="77777777" w:rsidR="001A0A97" w:rsidRDefault="001A0A97" w:rsidP="00214121">
      <w:pPr>
        <w:spacing w:line="360" w:lineRule="auto"/>
        <w:rPr>
          <w:rFonts w:ascii="Arial" w:hAnsi="Arial"/>
          <w:b/>
        </w:rPr>
      </w:pPr>
    </w:p>
    <w:p w14:paraId="47887E05" w14:textId="77777777" w:rsidR="001A0A97" w:rsidRDefault="001A0A97" w:rsidP="00214121">
      <w:pPr>
        <w:spacing w:line="360" w:lineRule="auto"/>
        <w:rPr>
          <w:rFonts w:ascii="Arial" w:hAnsi="Arial"/>
          <w:b/>
        </w:rPr>
      </w:pPr>
    </w:p>
    <w:p w14:paraId="7AE1128D" w14:textId="77777777" w:rsidR="00EF0AFB" w:rsidRPr="00214121" w:rsidRDefault="00EF0AFB" w:rsidP="00214121">
      <w:pPr>
        <w:spacing w:line="360" w:lineRule="auto"/>
        <w:rPr>
          <w:rFonts w:ascii="Arial" w:hAnsi="Arial"/>
          <w:b/>
        </w:rPr>
      </w:pPr>
    </w:p>
    <w:p w14:paraId="554DB41C" w14:textId="77777777" w:rsidR="00902363" w:rsidRDefault="00902363">
      <w:pPr>
        <w:pStyle w:val="PlainText"/>
        <w:spacing w:line="360" w:lineRule="auto"/>
        <w:rPr>
          <w:rFonts w:ascii="Arial" w:hAnsi="Arial" w:cs="Arial"/>
          <w:b/>
          <w:bCs w:val="0"/>
          <w:spacing w:val="0"/>
          <w:lang w:eastAsia="en-GB"/>
        </w:rPr>
      </w:pPr>
    </w:p>
    <w:p w14:paraId="22794C92" w14:textId="77777777" w:rsidR="00D221EE" w:rsidRPr="00815B2E" w:rsidRDefault="00D221EE">
      <w:pPr>
        <w:pStyle w:val="PlainText"/>
        <w:spacing w:line="360" w:lineRule="auto"/>
        <w:outlineLvl w:val="0"/>
        <w:rPr>
          <w:rFonts w:ascii="Arial" w:hAnsi="Arial" w:cs="Arial"/>
          <w:b/>
          <w:bCs w:val="0"/>
          <w:spacing w:val="0"/>
          <w:lang w:eastAsia="en-GB"/>
        </w:rPr>
      </w:pPr>
      <w:r w:rsidRPr="00815B2E">
        <w:rPr>
          <w:rFonts w:ascii="Arial" w:hAnsi="Arial" w:cs="Arial"/>
          <w:b/>
          <w:bCs w:val="0"/>
          <w:spacing w:val="0"/>
          <w:lang w:eastAsia="en-GB"/>
        </w:rPr>
        <w:t>ACCA LEGAL NOTICE</w:t>
      </w:r>
    </w:p>
    <w:p w14:paraId="227B4F2A" w14:textId="77777777" w:rsidR="00D221EE" w:rsidRPr="00867944" w:rsidRDefault="00867944">
      <w:pPr>
        <w:widowControl w:val="0"/>
        <w:autoSpaceDE w:val="0"/>
        <w:autoSpaceDN w:val="0"/>
        <w:adjustRightInd w:val="0"/>
        <w:spacing w:line="360" w:lineRule="auto"/>
        <w:rPr>
          <w:rFonts w:ascii="Arial" w:hAnsi="Arial" w:cs="Arial"/>
          <w:sz w:val="20"/>
          <w:szCs w:val="20"/>
          <w:lang w:val="en-US"/>
        </w:rPr>
      </w:pPr>
      <w:r w:rsidRPr="00867944">
        <w:rPr>
          <w:rFonts w:ascii="Arial" w:hAnsi="Arial" w:cs="Arial"/>
          <w:bCs/>
          <w:sz w:val="20"/>
          <w:szCs w:val="20"/>
          <w:lang w:val="en-US"/>
        </w:rPr>
        <w:t>This technical factsheet is for guidance purposes only. It is not a substitute for obtaining specific legal advice. While</w:t>
      </w:r>
      <w:r>
        <w:rPr>
          <w:rFonts w:ascii="Arial" w:hAnsi="Arial" w:cs="Arial"/>
          <w:sz w:val="20"/>
          <w:szCs w:val="20"/>
          <w:lang w:val="en-US"/>
        </w:rPr>
        <w:t xml:space="preserve"> </w:t>
      </w:r>
      <w:r w:rsidRPr="00867944">
        <w:rPr>
          <w:rFonts w:ascii="Arial" w:hAnsi="Arial" w:cs="Arial"/>
          <w:bCs/>
          <w:sz w:val="20"/>
          <w:szCs w:val="20"/>
          <w:lang w:val="en-US"/>
        </w:rPr>
        <w:t xml:space="preserve">every care has been taken with the preparation of the technical factsheet, neither ACCA nor its </w:t>
      </w:r>
      <w:bookmarkStart w:id="0" w:name="_GoBack"/>
      <w:bookmarkEnd w:id="0"/>
      <w:r w:rsidRPr="00867944">
        <w:rPr>
          <w:rFonts w:ascii="Arial" w:hAnsi="Arial" w:cs="Arial"/>
          <w:bCs/>
          <w:sz w:val="20"/>
          <w:szCs w:val="20"/>
          <w:lang w:val="en-US"/>
        </w:rPr>
        <w:t>employees accept any</w:t>
      </w:r>
      <w:r>
        <w:rPr>
          <w:rFonts w:ascii="Arial" w:hAnsi="Arial" w:cs="Arial"/>
          <w:bCs/>
          <w:sz w:val="20"/>
          <w:szCs w:val="20"/>
          <w:lang w:val="en-US"/>
        </w:rPr>
        <w:t xml:space="preserve"> </w:t>
      </w:r>
      <w:r w:rsidRPr="00867944">
        <w:rPr>
          <w:rFonts w:ascii="Arial" w:hAnsi="Arial" w:cs="Arial"/>
          <w:bCs/>
          <w:sz w:val="20"/>
          <w:szCs w:val="20"/>
          <w:lang w:val="en-US"/>
        </w:rPr>
        <w:t>responsibility for any loss occasioned by reliance on the contents.</w:t>
      </w:r>
    </w:p>
    <w:sectPr w:rsidR="00D221EE" w:rsidRPr="00867944" w:rsidSect="005B4B10">
      <w:headerReference w:type="even" r:id="rId21"/>
      <w:headerReference w:type="default" r:id="rId22"/>
      <w:footerReference w:type="even" r:id="rId23"/>
      <w:footerReference w:type="default" r:id="rId24"/>
      <w:headerReference w:type="first" r:id="rId25"/>
      <w:footerReference w:type="first" r:id="rId26"/>
      <w:pgSz w:w="11907" w:h="16840" w:code="9"/>
      <w:pgMar w:top="851" w:right="1134" w:bottom="851" w:left="1134"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0D886" w14:textId="77777777" w:rsidR="004A73AB" w:rsidRDefault="004A73AB">
      <w:r>
        <w:separator/>
      </w:r>
    </w:p>
  </w:endnote>
  <w:endnote w:type="continuationSeparator" w:id="0">
    <w:p w14:paraId="461293E1" w14:textId="77777777" w:rsidR="004A73AB" w:rsidRDefault="004A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National Regular">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NewsGoth BT">
    <w:altName w:val="Avenir Next Condensed Italic"/>
    <w:charset w:val="00"/>
    <w:family w:val="swiss"/>
    <w:pitch w:val="variable"/>
    <w:sig w:usb0="00000087" w:usb1="00000000" w:usb2="00000000" w:usb3="00000000" w:csb0="0000001B"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3431" w14:textId="77777777" w:rsidR="004A73AB" w:rsidRDefault="004A73AB" w:rsidP="00CA5F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9731D1" w14:textId="77777777" w:rsidR="004A73AB" w:rsidRDefault="004A73AB">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147D8" w14:textId="77777777" w:rsidR="004A73AB" w:rsidRDefault="004A73AB" w:rsidP="00CA5F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192">
      <w:rPr>
        <w:rStyle w:val="PageNumber"/>
        <w:noProof/>
      </w:rPr>
      <w:t>1</w:t>
    </w:r>
    <w:r>
      <w:rPr>
        <w:rStyle w:val="PageNumber"/>
      </w:rPr>
      <w:fldChar w:fldCharType="end"/>
    </w:r>
  </w:p>
  <w:p w14:paraId="7A625552" w14:textId="77777777" w:rsidR="004A73AB" w:rsidRDefault="004A73AB">
    <w:r>
      <w:rPr>
        <w:rFonts w:ascii="NewsGoth BT" w:hAnsi="NewsGoth BT"/>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74595" w14:textId="77777777" w:rsidR="004A73AB" w:rsidRDefault="004A73AB">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47143" w14:textId="77777777" w:rsidR="004A73AB" w:rsidRDefault="004A73AB">
      <w:r>
        <w:separator/>
      </w:r>
    </w:p>
  </w:footnote>
  <w:footnote w:type="continuationSeparator" w:id="0">
    <w:p w14:paraId="46AE87B9" w14:textId="77777777" w:rsidR="004A73AB" w:rsidRDefault="004A73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0052A" w14:textId="77777777" w:rsidR="004A73AB" w:rsidRDefault="004A73AB">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5B6DA" w14:textId="77777777" w:rsidR="004A73AB" w:rsidRDefault="004A73AB">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E95EC" w14:textId="77777777" w:rsidR="004A73AB" w:rsidRDefault="004A73AB" w:rsidP="007C1796">
    <w:pPr>
      <w:tabs>
        <w:tab w:val="left" w:pos="5493"/>
      </w:tabs>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EC6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443E2"/>
    <w:multiLevelType w:val="hybridMultilevel"/>
    <w:tmpl w:val="0ADCF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268A4"/>
    <w:multiLevelType w:val="hybridMultilevel"/>
    <w:tmpl w:val="EDA470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504E26"/>
    <w:multiLevelType w:val="hybridMultilevel"/>
    <w:tmpl w:val="A6B03E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347E03"/>
    <w:multiLevelType w:val="hybridMultilevel"/>
    <w:tmpl w:val="71761F80"/>
    <w:lvl w:ilvl="0" w:tplc="A5F40BA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21B9F"/>
    <w:multiLevelType w:val="hybridMultilevel"/>
    <w:tmpl w:val="B06C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455F2D"/>
    <w:multiLevelType w:val="hybridMultilevel"/>
    <w:tmpl w:val="3B241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8E453F"/>
    <w:multiLevelType w:val="hybridMultilevel"/>
    <w:tmpl w:val="8488F9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47B94"/>
    <w:multiLevelType w:val="hybridMultilevel"/>
    <w:tmpl w:val="E7F2E6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4F4BFE"/>
    <w:multiLevelType w:val="hybridMultilevel"/>
    <w:tmpl w:val="6DE8F4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0A3BC1"/>
    <w:multiLevelType w:val="hybridMultilevel"/>
    <w:tmpl w:val="2B9EA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471D01"/>
    <w:multiLevelType w:val="hybridMultilevel"/>
    <w:tmpl w:val="D656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96C2D"/>
    <w:multiLevelType w:val="hybridMultilevel"/>
    <w:tmpl w:val="8C0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4709F"/>
    <w:multiLevelType w:val="hybridMultilevel"/>
    <w:tmpl w:val="C516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2D1BD5"/>
    <w:multiLevelType w:val="hybridMultilevel"/>
    <w:tmpl w:val="C98C8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26484A"/>
    <w:multiLevelType w:val="hybridMultilevel"/>
    <w:tmpl w:val="F77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E7CF2"/>
    <w:multiLevelType w:val="hybridMultilevel"/>
    <w:tmpl w:val="FC4A49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D5773D"/>
    <w:multiLevelType w:val="hybridMultilevel"/>
    <w:tmpl w:val="75E2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931DE"/>
    <w:multiLevelType w:val="hybridMultilevel"/>
    <w:tmpl w:val="B26E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33A29"/>
    <w:multiLevelType w:val="hybridMultilevel"/>
    <w:tmpl w:val="F208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191A30"/>
    <w:multiLevelType w:val="hybridMultilevel"/>
    <w:tmpl w:val="ABB8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1F2823"/>
    <w:multiLevelType w:val="hybridMultilevel"/>
    <w:tmpl w:val="F426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2024D3"/>
    <w:multiLevelType w:val="hybridMultilevel"/>
    <w:tmpl w:val="D10E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028E7"/>
    <w:multiLevelType w:val="hybridMultilevel"/>
    <w:tmpl w:val="C846D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380214"/>
    <w:multiLevelType w:val="hybridMultilevel"/>
    <w:tmpl w:val="BEEABF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E36F7F"/>
    <w:multiLevelType w:val="hybridMultilevel"/>
    <w:tmpl w:val="522CB1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9"/>
  </w:num>
  <w:num w:numId="4">
    <w:abstractNumId w:val="20"/>
  </w:num>
  <w:num w:numId="5">
    <w:abstractNumId w:val="18"/>
  </w:num>
  <w:num w:numId="6">
    <w:abstractNumId w:val="11"/>
  </w:num>
  <w:num w:numId="7">
    <w:abstractNumId w:val="15"/>
  </w:num>
  <w:num w:numId="8">
    <w:abstractNumId w:val="12"/>
  </w:num>
  <w:num w:numId="9">
    <w:abstractNumId w:val="21"/>
  </w:num>
  <w:num w:numId="10">
    <w:abstractNumId w:val="7"/>
  </w:num>
  <w:num w:numId="11">
    <w:abstractNumId w:val="22"/>
  </w:num>
  <w:num w:numId="12">
    <w:abstractNumId w:val="17"/>
  </w:num>
  <w:num w:numId="13">
    <w:abstractNumId w:val="4"/>
  </w:num>
  <w:num w:numId="14">
    <w:abstractNumId w:val="3"/>
  </w:num>
  <w:num w:numId="15">
    <w:abstractNumId w:val="5"/>
  </w:num>
  <w:num w:numId="16">
    <w:abstractNumId w:val="24"/>
  </w:num>
  <w:num w:numId="17">
    <w:abstractNumId w:val="25"/>
  </w:num>
  <w:num w:numId="18">
    <w:abstractNumId w:val="10"/>
  </w:num>
  <w:num w:numId="19">
    <w:abstractNumId w:val="6"/>
  </w:num>
  <w:num w:numId="20">
    <w:abstractNumId w:val="9"/>
  </w:num>
  <w:num w:numId="21">
    <w:abstractNumId w:val="1"/>
  </w:num>
  <w:num w:numId="22">
    <w:abstractNumId w:val="8"/>
  </w:num>
  <w:num w:numId="23">
    <w:abstractNumId w:val="2"/>
  </w:num>
  <w:num w:numId="24">
    <w:abstractNumId w:val="16"/>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567"/>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92"/>
    <w:rsid w:val="0000090F"/>
    <w:rsid w:val="000020FC"/>
    <w:rsid w:val="00002AA9"/>
    <w:rsid w:val="00003910"/>
    <w:rsid w:val="0000652F"/>
    <w:rsid w:val="00007AE1"/>
    <w:rsid w:val="000159E1"/>
    <w:rsid w:val="000164BF"/>
    <w:rsid w:val="00017426"/>
    <w:rsid w:val="000222EC"/>
    <w:rsid w:val="00022EB1"/>
    <w:rsid w:val="00024B91"/>
    <w:rsid w:val="00025A47"/>
    <w:rsid w:val="00026709"/>
    <w:rsid w:val="00031A0E"/>
    <w:rsid w:val="0003304E"/>
    <w:rsid w:val="0003379A"/>
    <w:rsid w:val="000355E3"/>
    <w:rsid w:val="00036BD4"/>
    <w:rsid w:val="00037CC1"/>
    <w:rsid w:val="000458DB"/>
    <w:rsid w:val="000459A6"/>
    <w:rsid w:val="00046F97"/>
    <w:rsid w:val="000477C2"/>
    <w:rsid w:val="000500E9"/>
    <w:rsid w:val="0005013F"/>
    <w:rsid w:val="000559D4"/>
    <w:rsid w:val="00057961"/>
    <w:rsid w:val="00060939"/>
    <w:rsid w:val="00062972"/>
    <w:rsid w:val="000630E7"/>
    <w:rsid w:val="00063E1A"/>
    <w:rsid w:val="00065645"/>
    <w:rsid w:val="0007006F"/>
    <w:rsid w:val="00070251"/>
    <w:rsid w:val="00071EAB"/>
    <w:rsid w:val="0007287E"/>
    <w:rsid w:val="000742DF"/>
    <w:rsid w:val="000767D2"/>
    <w:rsid w:val="000779EC"/>
    <w:rsid w:val="000800D2"/>
    <w:rsid w:val="000807A6"/>
    <w:rsid w:val="00085CB0"/>
    <w:rsid w:val="00085CBF"/>
    <w:rsid w:val="000861C1"/>
    <w:rsid w:val="000923A7"/>
    <w:rsid w:val="00093639"/>
    <w:rsid w:val="00095B10"/>
    <w:rsid w:val="000A04E4"/>
    <w:rsid w:val="000A06C7"/>
    <w:rsid w:val="000A2BEE"/>
    <w:rsid w:val="000A3138"/>
    <w:rsid w:val="000A3CD2"/>
    <w:rsid w:val="000A3D4E"/>
    <w:rsid w:val="000A41FF"/>
    <w:rsid w:val="000A7093"/>
    <w:rsid w:val="000B677C"/>
    <w:rsid w:val="000C1970"/>
    <w:rsid w:val="000C6B94"/>
    <w:rsid w:val="000D0420"/>
    <w:rsid w:val="000D06F4"/>
    <w:rsid w:val="000D47E9"/>
    <w:rsid w:val="000D55B5"/>
    <w:rsid w:val="000D572C"/>
    <w:rsid w:val="000D7558"/>
    <w:rsid w:val="000D77A2"/>
    <w:rsid w:val="000D789C"/>
    <w:rsid w:val="000D7910"/>
    <w:rsid w:val="000E02F8"/>
    <w:rsid w:val="000E27CF"/>
    <w:rsid w:val="000F4343"/>
    <w:rsid w:val="000F5617"/>
    <w:rsid w:val="000F60E1"/>
    <w:rsid w:val="000F7E97"/>
    <w:rsid w:val="00100884"/>
    <w:rsid w:val="00112798"/>
    <w:rsid w:val="00114A69"/>
    <w:rsid w:val="00116AA4"/>
    <w:rsid w:val="00117F5E"/>
    <w:rsid w:val="00124411"/>
    <w:rsid w:val="00124C93"/>
    <w:rsid w:val="00125F0C"/>
    <w:rsid w:val="00130CB2"/>
    <w:rsid w:val="00131FB6"/>
    <w:rsid w:val="00134023"/>
    <w:rsid w:val="0013511F"/>
    <w:rsid w:val="001351C3"/>
    <w:rsid w:val="0014292F"/>
    <w:rsid w:val="00142A33"/>
    <w:rsid w:val="0014437D"/>
    <w:rsid w:val="001444E8"/>
    <w:rsid w:val="00147F63"/>
    <w:rsid w:val="00151139"/>
    <w:rsid w:val="00151F75"/>
    <w:rsid w:val="00152639"/>
    <w:rsid w:val="00152A38"/>
    <w:rsid w:val="00152BE2"/>
    <w:rsid w:val="00154BBB"/>
    <w:rsid w:val="00154FC6"/>
    <w:rsid w:val="00154FE1"/>
    <w:rsid w:val="00162060"/>
    <w:rsid w:val="00162223"/>
    <w:rsid w:val="0016225D"/>
    <w:rsid w:val="00163005"/>
    <w:rsid w:val="00164C76"/>
    <w:rsid w:val="00167CCB"/>
    <w:rsid w:val="001705D2"/>
    <w:rsid w:val="00170C35"/>
    <w:rsid w:val="0017201C"/>
    <w:rsid w:val="00173F5C"/>
    <w:rsid w:val="0018185A"/>
    <w:rsid w:val="00183C87"/>
    <w:rsid w:val="00187107"/>
    <w:rsid w:val="001874FC"/>
    <w:rsid w:val="00191AB9"/>
    <w:rsid w:val="00193230"/>
    <w:rsid w:val="0019450A"/>
    <w:rsid w:val="00195EDC"/>
    <w:rsid w:val="001961D9"/>
    <w:rsid w:val="001A0A97"/>
    <w:rsid w:val="001A0D10"/>
    <w:rsid w:val="001A0DCB"/>
    <w:rsid w:val="001A0EEB"/>
    <w:rsid w:val="001A1656"/>
    <w:rsid w:val="001A1CA6"/>
    <w:rsid w:val="001A24C9"/>
    <w:rsid w:val="001A2877"/>
    <w:rsid w:val="001A35BF"/>
    <w:rsid w:val="001A3DC3"/>
    <w:rsid w:val="001A79E2"/>
    <w:rsid w:val="001B1EC5"/>
    <w:rsid w:val="001B31D2"/>
    <w:rsid w:val="001B543E"/>
    <w:rsid w:val="001B61BC"/>
    <w:rsid w:val="001B6823"/>
    <w:rsid w:val="001C6D3B"/>
    <w:rsid w:val="001C782B"/>
    <w:rsid w:val="001D1C14"/>
    <w:rsid w:val="001D24EB"/>
    <w:rsid w:val="001D31AA"/>
    <w:rsid w:val="001D3C5F"/>
    <w:rsid w:val="001D63B6"/>
    <w:rsid w:val="001E1DA5"/>
    <w:rsid w:val="001E5C32"/>
    <w:rsid w:val="001E65C8"/>
    <w:rsid w:val="001F05D5"/>
    <w:rsid w:val="001F2902"/>
    <w:rsid w:val="001F2E2E"/>
    <w:rsid w:val="001F4391"/>
    <w:rsid w:val="001F4A9C"/>
    <w:rsid w:val="001F5E72"/>
    <w:rsid w:val="001F68BE"/>
    <w:rsid w:val="001F70BF"/>
    <w:rsid w:val="00200ED0"/>
    <w:rsid w:val="002015CA"/>
    <w:rsid w:val="00202D78"/>
    <w:rsid w:val="002061BB"/>
    <w:rsid w:val="002065A0"/>
    <w:rsid w:val="00206AC7"/>
    <w:rsid w:val="0021156E"/>
    <w:rsid w:val="00214121"/>
    <w:rsid w:val="002144BD"/>
    <w:rsid w:val="00215117"/>
    <w:rsid w:val="00217A9A"/>
    <w:rsid w:val="0022106D"/>
    <w:rsid w:val="00221E8F"/>
    <w:rsid w:val="00222933"/>
    <w:rsid w:val="00222BF6"/>
    <w:rsid w:val="00222D94"/>
    <w:rsid w:val="00223206"/>
    <w:rsid w:val="00223624"/>
    <w:rsid w:val="00225C0D"/>
    <w:rsid w:val="00231F52"/>
    <w:rsid w:val="00232B7B"/>
    <w:rsid w:val="00234864"/>
    <w:rsid w:val="002360A8"/>
    <w:rsid w:val="00237D96"/>
    <w:rsid w:val="00241A07"/>
    <w:rsid w:val="00242F7D"/>
    <w:rsid w:val="002449FB"/>
    <w:rsid w:val="00244EF4"/>
    <w:rsid w:val="00245A4E"/>
    <w:rsid w:val="0025080B"/>
    <w:rsid w:val="0025156C"/>
    <w:rsid w:val="00251A2B"/>
    <w:rsid w:val="00251ABB"/>
    <w:rsid w:val="0025328A"/>
    <w:rsid w:val="0025401A"/>
    <w:rsid w:val="0026141B"/>
    <w:rsid w:val="00262313"/>
    <w:rsid w:val="00262F99"/>
    <w:rsid w:val="002632BC"/>
    <w:rsid w:val="00263BA0"/>
    <w:rsid w:val="00263CB4"/>
    <w:rsid w:val="00264147"/>
    <w:rsid w:val="002649F7"/>
    <w:rsid w:val="00271435"/>
    <w:rsid w:val="00275C4D"/>
    <w:rsid w:val="002769D6"/>
    <w:rsid w:val="002772D1"/>
    <w:rsid w:val="002772EA"/>
    <w:rsid w:val="002807E0"/>
    <w:rsid w:val="00281380"/>
    <w:rsid w:val="0028156D"/>
    <w:rsid w:val="00281F7B"/>
    <w:rsid w:val="002825E9"/>
    <w:rsid w:val="002826AB"/>
    <w:rsid w:val="00282955"/>
    <w:rsid w:val="00283DD8"/>
    <w:rsid w:val="00285BAF"/>
    <w:rsid w:val="0029110E"/>
    <w:rsid w:val="0029113E"/>
    <w:rsid w:val="00291383"/>
    <w:rsid w:val="00291824"/>
    <w:rsid w:val="00294713"/>
    <w:rsid w:val="0029663A"/>
    <w:rsid w:val="0029743D"/>
    <w:rsid w:val="002A00C4"/>
    <w:rsid w:val="002A4321"/>
    <w:rsid w:val="002A4FE6"/>
    <w:rsid w:val="002B1C17"/>
    <w:rsid w:val="002B20FE"/>
    <w:rsid w:val="002B2EE4"/>
    <w:rsid w:val="002B3A26"/>
    <w:rsid w:val="002B3FD2"/>
    <w:rsid w:val="002B448D"/>
    <w:rsid w:val="002B575E"/>
    <w:rsid w:val="002B7CD6"/>
    <w:rsid w:val="002C14EB"/>
    <w:rsid w:val="002C2190"/>
    <w:rsid w:val="002C282B"/>
    <w:rsid w:val="002C4058"/>
    <w:rsid w:val="002C4338"/>
    <w:rsid w:val="002C6F76"/>
    <w:rsid w:val="002C7644"/>
    <w:rsid w:val="002D0341"/>
    <w:rsid w:val="002D2749"/>
    <w:rsid w:val="002D33C0"/>
    <w:rsid w:val="002D381F"/>
    <w:rsid w:val="002D5399"/>
    <w:rsid w:val="002D62E7"/>
    <w:rsid w:val="002E07D2"/>
    <w:rsid w:val="002E39F9"/>
    <w:rsid w:val="002E3E14"/>
    <w:rsid w:val="002E4EAF"/>
    <w:rsid w:val="002E7DC4"/>
    <w:rsid w:val="002E7E7F"/>
    <w:rsid w:val="002F5CA2"/>
    <w:rsid w:val="002F5ED2"/>
    <w:rsid w:val="002F735E"/>
    <w:rsid w:val="00300AF7"/>
    <w:rsid w:val="00300E11"/>
    <w:rsid w:val="00301491"/>
    <w:rsid w:val="00304BF8"/>
    <w:rsid w:val="00306DF7"/>
    <w:rsid w:val="00307C50"/>
    <w:rsid w:val="003101C6"/>
    <w:rsid w:val="00310DFA"/>
    <w:rsid w:val="0031183D"/>
    <w:rsid w:val="003161FD"/>
    <w:rsid w:val="00317F90"/>
    <w:rsid w:val="00320B0F"/>
    <w:rsid w:val="00321403"/>
    <w:rsid w:val="003232C5"/>
    <w:rsid w:val="003246FD"/>
    <w:rsid w:val="00324B90"/>
    <w:rsid w:val="00326FD8"/>
    <w:rsid w:val="003306B6"/>
    <w:rsid w:val="00330FD3"/>
    <w:rsid w:val="003321F2"/>
    <w:rsid w:val="003328BC"/>
    <w:rsid w:val="0033375D"/>
    <w:rsid w:val="0033397C"/>
    <w:rsid w:val="00334F7F"/>
    <w:rsid w:val="00335220"/>
    <w:rsid w:val="003356B6"/>
    <w:rsid w:val="00335BBA"/>
    <w:rsid w:val="00336CF3"/>
    <w:rsid w:val="00337916"/>
    <w:rsid w:val="00340BCC"/>
    <w:rsid w:val="003415A0"/>
    <w:rsid w:val="00341657"/>
    <w:rsid w:val="00341D52"/>
    <w:rsid w:val="003423D7"/>
    <w:rsid w:val="00343820"/>
    <w:rsid w:val="00345353"/>
    <w:rsid w:val="00346DBE"/>
    <w:rsid w:val="00347601"/>
    <w:rsid w:val="003505B0"/>
    <w:rsid w:val="00356DD8"/>
    <w:rsid w:val="00361382"/>
    <w:rsid w:val="003619C3"/>
    <w:rsid w:val="00363E0A"/>
    <w:rsid w:val="00363F7D"/>
    <w:rsid w:val="003656E9"/>
    <w:rsid w:val="00365F0F"/>
    <w:rsid w:val="0036612A"/>
    <w:rsid w:val="003664BD"/>
    <w:rsid w:val="0036685C"/>
    <w:rsid w:val="003705CA"/>
    <w:rsid w:val="00370ECA"/>
    <w:rsid w:val="00371898"/>
    <w:rsid w:val="00377F50"/>
    <w:rsid w:val="00381251"/>
    <w:rsid w:val="00381F6F"/>
    <w:rsid w:val="00383419"/>
    <w:rsid w:val="00385C45"/>
    <w:rsid w:val="00385E5E"/>
    <w:rsid w:val="0038631C"/>
    <w:rsid w:val="003936DF"/>
    <w:rsid w:val="00396663"/>
    <w:rsid w:val="003A32DB"/>
    <w:rsid w:val="003A7D9F"/>
    <w:rsid w:val="003B10E0"/>
    <w:rsid w:val="003B3A15"/>
    <w:rsid w:val="003B433D"/>
    <w:rsid w:val="003B46A7"/>
    <w:rsid w:val="003B51EE"/>
    <w:rsid w:val="003C0A54"/>
    <w:rsid w:val="003C1A9A"/>
    <w:rsid w:val="003C2037"/>
    <w:rsid w:val="003C2378"/>
    <w:rsid w:val="003C5A3A"/>
    <w:rsid w:val="003C64E3"/>
    <w:rsid w:val="003D259E"/>
    <w:rsid w:val="003D2609"/>
    <w:rsid w:val="003D342C"/>
    <w:rsid w:val="003D47B7"/>
    <w:rsid w:val="003D6DED"/>
    <w:rsid w:val="003D750B"/>
    <w:rsid w:val="003E02D8"/>
    <w:rsid w:val="003E05A8"/>
    <w:rsid w:val="003E0C0C"/>
    <w:rsid w:val="003E12E4"/>
    <w:rsid w:val="003E56F4"/>
    <w:rsid w:val="003E5F1C"/>
    <w:rsid w:val="003E6EBF"/>
    <w:rsid w:val="003F00B8"/>
    <w:rsid w:val="003F163B"/>
    <w:rsid w:val="003F191C"/>
    <w:rsid w:val="003F1E65"/>
    <w:rsid w:val="003F20CB"/>
    <w:rsid w:val="003F2B7C"/>
    <w:rsid w:val="003F3012"/>
    <w:rsid w:val="003F5DA2"/>
    <w:rsid w:val="00400E28"/>
    <w:rsid w:val="00402F70"/>
    <w:rsid w:val="0040320E"/>
    <w:rsid w:val="004038C8"/>
    <w:rsid w:val="00404465"/>
    <w:rsid w:val="00405898"/>
    <w:rsid w:val="00412AAA"/>
    <w:rsid w:val="004157C1"/>
    <w:rsid w:val="00417030"/>
    <w:rsid w:val="00421471"/>
    <w:rsid w:val="004226D9"/>
    <w:rsid w:val="004243F1"/>
    <w:rsid w:val="0042450B"/>
    <w:rsid w:val="00427C34"/>
    <w:rsid w:val="004314EC"/>
    <w:rsid w:val="004324BA"/>
    <w:rsid w:val="00432B45"/>
    <w:rsid w:val="00433607"/>
    <w:rsid w:val="00434B56"/>
    <w:rsid w:val="004357FA"/>
    <w:rsid w:val="00440A83"/>
    <w:rsid w:val="00442E9E"/>
    <w:rsid w:val="00444CF0"/>
    <w:rsid w:val="0044513B"/>
    <w:rsid w:val="0044559A"/>
    <w:rsid w:val="00445F9E"/>
    <w:rsid w:val="00450DD3"/>
    <w:rsid w:val="0046093F"/>
    <w:rsid w:val="00460A86"/>
    <w:rsid w:val="0046218F"/>
    <w:rsid w:val="00467031"/>
    <w:rsid w:val="00470333"/>
    <w:rsid w:val="0047098C"/>
    <w:rsid w:val="004713B8"/>
    <w:rsid w:val="004739A8"/>
    <w:rsid w:val="00474FC6"/>
    <w:rsid w:val="00476A38"/>
    <w:rsid w:val="00481F50"/>
    <w:rsid w:val="00482DD6"/>
    <w:rsid w:val="00483A7F"/>
    <w:rsid w:val="004842F4"/>
    <w:rsid w:val="004843F6"/>
    <w:rsid w:val="00484F8C"/>
    <w:rsid w:val="0048547B"/>
    <w:rsid w:val="00490F8C"/>
    <w:rsid w:val="0049320C"/>
    <w:rsid w:val="0049360A"/>
    <w:rsid w:val="004A10BC"/>
    <w:rsid w:val="004A23CB"/>
    <w:rsid w:val="004A29D4"/>
    <w:rsid w:val="004A323F"/>
    <w:rsid w:val="004A4626"/>
    <w:rsid w:val="004A4D23"/>
    <w:rsid w:val="004A68AA"/>
    <w:rsid w:val="004A73AB"/>
    <w:rsid w:val="004A75AF"/>
    <w:rsid w:val="004A7A0C"/>
    <w:rsid w:val="004B090A"/>
    <w:rsid w:val="004B1B0C"/>
    <w:rsid w:val="004B3724"/>
    <w:rsid w:val="004B39A3"/>
    <w:rsid w:val="004B6959"/>
    <w:rsid w:val="004B72E3"/>
    <w:rsid w:val="004C126D"/>
    <w:rsid w:val="004C2A62"/>
    <w:rsid w:val="004C4FD5"/>
    <w:rsid w:val="004C5D90"/>
    <w:rsid w:val="004C708A"/>
    <w:rsid w:val="004D1120"/>
    <w:rsid w:val="004D236F"/>
    <w:rsid w:val="004D265C"/>
    <w:rsid w:val="004D2D91"/>
    <w:rsid w:val="004D3804"/>
    <w:rsid w:val="004D6586"/>
    <w:rsid w:val="004E01A2"/>
    <w:rsid w:val="004E0550"/>
    <w:rsid w:val="004E13FE"/>
    <w:rsid w:val="004E1BD2"/>
    <w:rsid w:val="004E64C0"/>
    <w:rsid w:val="004F0C7E"/>
    <w:rsid w:val="004F1852"/>
    <w:rsid w:val="004F1A51"/>
    <w:rsid w:val="004F1AFE"/>
    <w:rsid w:val="004F3B39"/>
    <w:rsid w:val="004F4360"/>
    <w:rsid w:val="004F4BCF"/>
    <w:rsid w:val="004F56C1"/>
    <w:rsid w:val="00502591"/>
    <w:rsid w:val="00502A8F"/>
    <w:rsid w:val="00502FA8"/>
    <w:rsid w:val="0050358B"/>
    <w:rsid w:val="005036E2"/>
    <w:rsid w:val="0050379B"/>
    <w:rsid w:val="00505393"/>
    <w:rsid w:val="00505BB9"/>
    <w:rsid w:val="00505F8C"/>
    <w:rsid w:val="00510140"/>
    <w:rsid w:val="0051350C"/>
    <w:rsid w:val="00516211"/>
    <w:rsid w:val="0051686E"/>
    <w:rsid w:val="00517508"/>
    <w:rsid w:val="0052041D"/>
    <w:rsid w:val="00520706"/>
    <w:rsid w:val="005237F1"/>
    <w:rsid w:val="005241C3"/>
    <w:rsid w:val="00525CA1"/>
    <w:rsid w:val="00531962"/>
    <w:rsid w:val="00531F70"/>
    <w:rsid w:val="005327C9"/>
    <w:rsid w:val="00532AE5"/>
    <w:rsid w:val="00536EA6"/>
    <w:rsid w:val="005372AA"/>
    <w:rsid w:val="005417CD"/>
    <w:rsid w:val="0054296C"/>
    <w:rsid w:val="005431FD"/>
    <w:rsid w:val="00544A0F"/>
    <w:rsid w:val="00546C55"/>
    <w:rsid w:val="00547210"/>
    <w:rsid w:val="00547CF0"/>
    <w:rsid w:val="00547EC0"/>
    <w:rsid w:val="00550A8B"/>
    <w:rsid w:val="00552B19"/>
    <w:rsid w:val="00553C37"/>
    <w:rsid w:val="005544AF"/>
    <w:rsid w:val="005557F3"/>
    <w:rsid w:val="00555AD3"/>
    <w:rsid w:val="00555D5B"/>
    <w:rsid w:val="00562FA9"/>
    <w:rsid w:val="005672C4"/>
    <w:rsid w:val="005741EE"/>
    <w:rsid w:val="005750E8"/>
    <w:rsid w:val="00580DDA"/>
    <w:rsid w:val="005813F8"/>
    <w:rsid w:val="00582DB9"/>
    <w:rsid w:val="00583122"/>
    <w:rsid w:val="00583C57"/>
    <w:rsid w:val="00584D0A"/>
    <w:rsid w:val="00586A32"/>
    <w:rsid w:val="005874D1"/>
    <w:rsid w:val="00591E09"/>
    <w:rsid w:val="005931DF"/>
    <w:rsid w:val="0059351C"/>
    <w:rsid w:val="005942ED"/>
    <w:rsid w:val="005949C7"/>
    <w:rsid w:val="00595706"/>
    <w:rsid w:val="00597A16"/>
    <w:rsid w:val="00597E4A"/>
    <w:rsid w:val="005B1007"/>
    <w:rsid w:val="005B4B10"/>
    <w:rsid w:val="005B53DC"/>
    <w:rsid w:val="005B598A"/>
    <w:rsid w:val="005B7B17"/>
    <w:rsid w:val="005C050C"/>
    <w:rsid w:val="005C0E39"/>
    <w:rsid w:val="005C1B14"/>
    <w:rsid w:val="005C329D"/>
    <w:rsid w:val="005C372E"/>
    <w:rsid w:val="005C41CA"/>
    <w:rsid w:val="005C59E3"/>
    <w:rsid w:val="005C77AA"/>
    <w:rsid w:val="005D104E"/>
    <w:rsid w:val="005D132F"/>
    <w:rsid w:val="005D22FE"/>
    <w:rsid w:val="005D335B"/>
    <w:rsid w:val="005D3C24"/>
    <w:rsid w:val="005D3CC4"/>
    <w:rsid w:val="005D5BC3"/>
    <w:rsid w:val="005D737D"/>
    <w:rsid w:val="005D7875"/>
    <w:rsid w:val="005D7F56"/>
    <w:rsid w:val="005E0A95"/>
    <w:rsid w:val="005E127F"/>
    <w:rsid w:val="005E3BA0"/>
    <w:rsid w:val="005E4465"/>
    <w:rsid w:val="005E6318"/>
    <w:rsid w:val="005F5DC4"/>
    <w:rsid w:val="006016AD"/>
    <w:rsid w:val="006019BC"/>
    <w:rsid w:val="00602074"/>
    <w:rsid w:val="00603B1C"/>
    <w:rsid w:val="006046B8"/>
    <w:rsid w:val="00604854"/>
    <w:rsid w:val="00605640"/>
    <w:rsid w:val="006069BD"/>
    <w:rsid w:val="00606F19"/>
    <w:rsid w:val="00607C6B"/>
    <w:rsid w:val="00610CAA"/>
    <w:rsid w:val="0061195A"/>
    <w:rsid w:val="006138E0"/>
    <w:rsid w:val="00615DCB"/>
    <w:rsid w:val="006178F7"/>
    <w:rsid w:val="00622B44"/>
    <w:rsid w:val="0062621A"/>
    <w:rsid w:val="0062799B"/>
    <w:rsid w:val="006311CC"/>
    <w:rsid w:val="006319B2"/>
    <w:rsid w:val="00632128"/>
    <w:rsid w:val="00632603"/>
    <w:rsid w:val="00636B7F"/>
    <w:rsid w:val="0064479C"/>
    <w:rsid w:val="006477BF"/>
    <w:rsid w:val="006477FC"/>
    <w:rsid w:val="00651FA4"/>
    <w:rsid w:val="00652287"/>
    <w:rsid w:val="006533C1"/>
    <w:rsid w:val="0065503C"/>
    <w:rsid w:val="006553CA"/>
    <w:rsid w:val="00656202"/>
    <w:rsid w:val="00656592"/>
    <w:rsid w:val="00662E5E"/>
    <w:rsid w:val="00663E32"/>
    <w:rsid w:val="00665B9A"/>
    <w:rsid w:val="00670CF8"/>
    <w:rsid w:val="00671200"/>
    <w:rsid w:val="0067172F"/>
    <w:rsid w:val="00671EBF"/>
    <w:rsid w:val="00672A2F"/>
    <w:rsid w:val="006767B1"/>
    <w:rsid w:val="006768F3"/>
    <w:rsid w:val="00681FB8"/>
    <w:rsid w:val="0068269F"/>
    <w:rsid w:val="0068345E"/>
    <w:rsid w:val="006842B6"/>
    <w:rsid w:val="00686BEC"/>
    <w:rsid w:val="006910D0"/>
    <w:rsid w:val="00692D89"/>
    <w:rsid w:val="00697E8B"/>
    <w:rsid w:val="006A04E5"/>
    <w:rsid w:val="006A11BD"/>
    <w:rsid w:val="006A1285"/>
    <w:rsid w:val="006A1F56"/>
    <w:rsid w:val="006A22FE"/>
    <w:rsid w:val="006A3611"/>
    <w:rsid w:val="006A7E52"/>
    <w:rsid w:val="006B1C37"/>
    <w:rsid w:val="006B4E57"/>
    <w:rsid w:val="006B57D6"/>
    <w:rsid w:val="006B61CD"/>
    <w:rsid w:val="006B7656"/>
    <w:rsid w:val="006C06EB"/>
    <w:rsid w:val="006C186C"/>
    <w:rsid w:val="006C1871"/>
    <w:rsid w:val="006C2F5E"/>
    <w:rsid w:val="006C4F2B"/>
    <w:rsid w:val="006D020E"/>
    <w:rsid w:val="006D2F26"/>
    <w:rsid w:val="006D34DB"/>
    <w:rsid w:val="006D7A26"/>
    <w:rsid w:val="006E0605"/>
    <w:rsid w:val="006E30BA"/>
    <w:rsid w:val="006E336F"/>
    <w:rsid w:val="006E3CAE"/>
    <w:rsid w:val="006F0F72"/>
    <w:rsid w:val="006F23E5"/>
    <w:rsid w:val="006F3211"/>
    <w:rsid w:val="006F3914"/>
    <w:rsid w:val="006F5BBB"/>
    <w:rsid w:val="006F5FE8"/>
    <w:rsid w:val="006F7583"/>
    <w:rsid w:val="007001B8"/>
    <w:rsid w:val="007010CC"/>
    <w:rsid w:val="00701FA1"/>
    <w:rsid w:val="00703793"/>
    <w:rsid w:val="007041F1"/>
    <w:rsid w:val="00704CDE"/>
    <w:rsid w:val="007053BA"/>
    <w:rsid w:val="0070756A"/>
    <w:rsid w:val="007076F5"/>
    <w:rsid w:val="00707C6F"/>
    <w:rsid w:val="0071077B"/>
    <w:rsid w:val="00713D6A"/>
    <w:rsid w:val="00714129"/>
    <w:rsid w:val="007149A7"/>
    <w:rsid w:val="00717324"/>
    <w:rsid w:val="0072182F"/>
    <w:rsid w:val="00721BB1"/>
    <w:rsid w:val="00722AC6"/>
    <w:rsid w:val="0072504C"/>
    <w:rsid w:val="00726765"/>
    <w:rsid w:val="00730F4E"/>
    <w:rsid w:val="00733BE6"/>
    <w:rsid w:val="00737750"/>
    <w:rsid w:val="00737F10"/>
    <w:rsid w:val="0074080A"/>
    <w:rsid w:val="00741309"/>
    <w:rsid w:val="00741CD1"/>
    <w:rsid w:val="00741D27"/>
    <w:rsid w:val="00742988"/>
    <w:rsid w:val="007460BE"/>
    <w:rsid w:val="0074765D"/>
    <w:rsid w:val="00747EBE"/>
    <w:rsid w:val="007502F9"/>
    <w:rsid w:val="007509E4"/>
    <w:rsid w:val="00751E18"/>
    <w:rsid w:val="007520E0"/>
    <w:rsid w:val="0075242E"/>
    <w:rsid w:val="0076077A"/>
    <w:rsid w:val="007624A7"/>
    <w:rsid w:val="00762E35"/>
    <w:rsid w:val="00764C78"/>
    <w:rsid w:val="00765E29"/>
    <w:rsid w:val="00767014"/>
    <w:rsid w:val="007672FD"/>
    <w:rsid w:val="00770D54"/>
    <w:rsid w:val="00770E2D"/>
    <w:rsid w:val="00771292"/>
    <w:rsid w:val="007742C9"/>
    <w:rsid w:val="007743BE"/>
    <w:rsid w:val="007778A6"/>
    <w:rsid w:val="00783A08"/>
    <w:rsid w:val="00784C17"/>
    <w:rsid w:val="00786044"/>
    <w:rsid w:val="00786E31"/>
    <w:rsid w:val="0079413A"/>
    <w:rsid w:val="007950C8"/>
    <w:rsid w:val="00795D45"/>
    <w:rsid w:val="00796B1F"/>
    <w:rsid w:val="00797C18"/>
    <w:rsid w:val="00797EAD"/>
    <w:rsid w:val="007A1148"/>
    <w:rsid w:val="007A2402"/>
    <w:rsid w:val="007A244A"/>
    <w:rsid w:val="007A247C"/>
    <w:rsid w:val="007A2ED1"/>
    <w:rsid w:val="007A4DCA"/>
    <w:rsid w:val="007A52A3"/>
    <w:rsid w:val="007A55BB"/>
    <w:rsid w:val="007A585A"/>
    <w:rsid w:val="007B4AB3"/>
    <w:rsid w:val="007B4F3C"/>
    <w:rsid w:val="007B529A"/>
    <w:rsid w:val="007B56CE"/>
    <w:rsid w:val="007B5D94"/>
    <w:rsid w:val="007B5E87"/>
    <w:rsid w:val="007B7FD8"/>
    <w:rsid w:val="007C018A"/>
    <w:rsid w:val="007C1685"/>
    <w:rsid w:val="007C1796"/>
    <w:rsid w:val="007C2610"/>
    <w:rsid w:val="007C30DB"/>
    <w:rsid w:val="007C379A"/>
    <w:rsid w:val="007C3CFB"/>
    <w:rsid w:val="007C4062"/>
    <w:rsid w:val="007C5248"/>
    <w:rsid w:val="007C74FD"/>
    <w:rsid w:val="007C7A5C"/>
    <w:rsid w:val="007C7A95"/>
    <w:rsid w:val="007D1315"/>
    <w:rsid w:val="007D2ACC"/>
    <w:rsid w:val="007D41A1"/>
    <w:rsid w:val="007D50D8"/>
    <w:rsid w:val="007D67F1"/>
    <w:rsid w:val="007E0F4A"/>
    <w:rsid w:val="007E1647"/>
    <w:rsid w:val="007E5644"/>
    <w:rsid w:val="007F179F"/>
    <w:rsid w:val="007F44AE"/>
    <w:rsid w:val="007F4627"/>
    <w:rsid w:val="007F69C0"/>
    <w:rsid w:val="007F6ADF"/>
    <w:rsid w:val="007F7B63"/>
    <w:rsid w:val="008004EE"/>
    <w:rsid w:val="00800520"/>
    <w:rsid w:val="00802470"/>
    <w:rsid w:val="008031F1"/>
    <w:rsid w:val="00806806"/>
    <w:rsid w:val="008135F4"/>
    <w:rsid w:val="0081401A"/>
    <w:rsid w:val="00814D38"/>
    <w:rsid w:val="0081588A"/>
    <w:rsid w:val="00815B2E"/>
    <w:rsid w:val="00817CEC"/>
    <w:rsid w:val="00820E99"/>
    <w:rsid w:val="008214A1"/>
    <w:rsid w:val="00823102"/>
    <w:rsid w:val="00825DB5"/>
    <w:rsid w:val="00826216"/>
    <w:rsid w:val="008301CF"/>
    <w:rsid w:val="0083156F"/>
    <w:rsid w:val="008326D1"/>
    <w:rsid w:val="00835286"/>
    <w:rsid w:val="00837726"/>
    <w:rsid w:val="00837C27"/>
    <w:rsid w:val="0084079C"/>
    <w:rsid w:val="00843AF5"/>
    <w:rsid w:val="008514ED"/>
    <w:rsid w:val="008517E1"/>
    <w:rsid w:val="00851C64"/>
    <w:rsid w:val="008525D6"/>
    <w:rsid w:val="00852BC2"/>
    <w:rsid w:val="00853A1E"/>
    <w:rsid w:val="008551D4"/>
    <w:rsid w:val="008552FA"/>
    <w:rsid w:val="0086022C"/>
    <w:rsid w:val="00862B1E"/>
    <w:rsid w:val="0086597C"/>
    <w:rsid w:val="008664FF"/>
    <w:rsid w:val="00866D9E"/>
    <w:rsid w:val="00867944"/>
    <w:rsid w:val="0087289B"/>
    <w:rsid w:val="00872BF3"/>
    <w:rsid w:val="00875D4C"/>
    <w:rsid w:val="008765C2"/>
    <w:rsid w:val="00880AB0"/>
    <w:rsid w:val="00881184"/>
    <w:rsid w:val="008815D7"/>
    <w:rsid w:val="00881D08"/>
    <w:rsid w:val="00882100"/>
    <w:rsid w:val="0088214A"/>
    <w:rsid w:val="00882586"/>
    <w:rsid w:val="008829A4"/>
    <w:rsid w:val="00884C1D"/>
    <w:rsid w:val="00884FBD"/>
    <w:rsid w:val="00885AAC"/>
    <w:rsid w:val="008876E4"/>
    <w:rsid w:val="00887977"/>
    <w:rsid w:val="00887E5E"/>
    <w:rsid w:val="008902BC"/>
    <w:rsid w:val="00890E7D"/>
    <w:rsid w:val="0089115E"/>
    <w:rsid w:val="0089215B"/>
    <w:rsid w:val="0089235E"/>
    <w:rsid w:val="008929C2"/>
    <w:rsid w:val="00892B85"/>
    <w:rsid w:val="00892F8F"/>
    <w:rsid w:val="0089755C"/>
    <w:rsid w:val="008977BA"/>
    <w:rsid w:val="008A1200"/>
    <w:rsid w:val="008A1828"/>
    <w:rsid w:val="008A19F8"/>
    <w:rsid w:val="008A54E9"/>
    <w:rsid w:val="008A7D29"/>
    <w:rsid w:val="008B0C96"/>
    <w:rsid w:val="008B22BB"/>
    <w:rsid w:val="008B3601"/>
    <w:rsid w:val="008B36A4"/>
    <w:rsid w:val="008B4688"/>
    <w:rsid w:val="008B4EC6"/>
    <w:rsid w:val="008B53AE"/>
    <w:rsid w:val="008B56DB"/>
    <w:rsid w:val="008B5F37"/>
    <w:rsid w:val="008C18AB"/>
    <w:rsid w:val="008C32CC"/>
    <w:rsid w:val="008D1359"/>
    <w:rsid w:val="008D2009"/>
    <w:rsid w:val="008D335B"/>
    <w:rsid w:val="008D46FB"/>
    <w:rsid w:val="008E074D"/>
    <w:rsid w:val="008E09D9"/>
    <w:rsid w:val="008E1311"/>
    <w:rsid w:val="008E1909"/>
    <w:rsid w:val="008E1A8C"/>
    <w:rsid w:val="008E1FA4"/>
    <w:rsid w:val="008E2595"/>
    <w:rsid w:val="008E2B48"/>
    <w:rsid w:val="008E435A"/>
    <w:rsid w:val="008E4558"/>
    <w:rsid w:val="008E7D6C"/>
    <w:rsid w:val="008F0C72"/>
    <w:rsid w:val="008F0DCC"/>
    <w:rsid w:val="008F537A"/>
    <w:rsid w:val="008F5D11"/>
    <w:rsid w:val="008F7C68"/>
    <w:rsid w:val="009002EB"/>
    <w:rsid w:val="00901079"/>
    <w:rsid w:val="009018B2"/>
    <w:rsid w:val="00902363"/>
    <w:rsid w:val="0090274D"/>
    <w:rsid w:val="00903088"/>
    <w:rsid w:val="00905D49"/>
    <w:rsid w:val="009118B9"/>
    <w:rsid w:val="00913557"/>
    <w:rsid w:val="009201E5"/>
    <w:rsid w:val="00921FDF"/>
    <w:rsid w:val="009224EF"/>
    <w:rsid w:val="00922F7A"/>
    <w:rsid w:val="00924664"/>
    <w:rsid w:val="00925861"/>
    <w:rsid w:val="009259AF"/>
    <w:rsid w:val="00926F52"/>
    <w:rsid w:val="00927F09"/>
    <w:rsid w:val="00930C3D"/>
    <w:rsid w:val="00931DBB"/>
    <w:rsid w:val="009321ED"/>
    <w:rsid w:val="00932923"/>
    <w:rsid w:val="00934AE6"/>
    <w:rsid w:val="00935DB8"/>
    <w:rsid w:val="00942E03"/>
    <w:rsid w:val="00944EC5"/>
    <w:rsid w:val="00947D8B"/>
    <w:rsid w:val="009530C1"/>
    <w:rsid w:val="00955165"/>
    <w:rsid w:val="00956F78"/>
    <w:rsid w:val="009628EB"/>
    <w:rsid w:val="00962E24"/>
    <w:rsid w:val="0097688B"/>
    <w:rsid w:val="009838E0"/>
    <w:rsid w:val="009852E3"/>
    <w:rsid w:val="00986037"/>
    <w:rsid w:val="00987E21"/>
    <w:rsid w:val="009936CE"/>
    <w:rsid w:val="0099413C"/>
    <w:rsid w:val="009A2483"/>
    <w:rsid w:val="009A329B"/>
    <w:rsid w:val="009A4BDE"/>
    <w:rsid w:val="009A5220"/>
    <w:rsid w:val="009A592E"/>
    <w:rsid w:val="009A7ABB"/>
    <w:rsid w:val="009A7B4C"/>
    <w:rsid w:val="009B07BF"/>
    <w:rsid w:val="009B0A02"/>
    <w:rsid w:val="009B1132"/>
    <w:rsid w:val="009B37BB"/>
    <w:rsid w:val="009B3E52"/>
    <w:rsid w:val="009C28D5"/>
    <w:rsid w:val="009C5F53"/>
    <w:rsid w:val="009D0627"/>
    <w:rsid w:val="009D542E"/>
    <w:rsid w:val="009D649D"/>
    <w:rsid w:val="009D7A47"/>
    <w:rsid w:val="009E032D"/>
    <w:rsid w:val="009E4BA5"/>
    <w:rsid w:val="009E574F"/>
    <w:rsid w:val="009E5B6E"/>
    <w:rsid w:val="009E6322"/>
    <w:rsid w:val="009E6E9A"/>
    <w:rsid w:val="009F0192"/>
    <w:rsid w:val="009F093B"/>
    <w:rsid w:val="009F0A9A"/>
    <w:rsid w:val="009F0ADA"/>
    <w:rsid w:val="009F1B94"/>
    <w:rsid w:val="009F2B48"/>
    <w:rsid w:val="009F3325"/>
    <w:rsid w:val="009F4644"/>
    <w:rsid w:val="009F50BB"/>
    <w:rsid w:val="009F593F"/>
    <w:rsid w:val="009F6A62"/>
    <w:rsid w:val="009F783C"/>
    <w:rsid w:val="00A00326"/>
    <w:rsid w:val="00A01118"/>
    <w:rsid w:val="00A0258C"/>
    <w:rsid w:val="00A0614D"/>
    <w:rsid w:val="00A0626B"/>
    <w:rsid w:val="00A06938"/>
    <w:rsid w:val="00A1024C"/>
    <w:rsid w:val="00A12C4F"/>
    <w:rsid w:val="00A130A3"/>
    <w:rsid w:val="00A13BAD"/>
    <w:rsid w:val="00A13CFD"/>
    <w:rsid w:val="00A13F20"/>
    <w:rsid w:val="00A16361"/>
    <w:rsid w:val="00A20D5C"/>
    <w:rsid w:val="00A2100E"/>
    <w:rsid w:val="00A226BE"/>
    <w:rsid w:val="00A23F1B"/>
    <w:rsid w:val="00A24D72"/>
    <w:rsid w:val="00A261C8"/>
    <w:rsid w:val="00A26B2B"/>
    <w:rsid w:val="00A319E7"/>
    <w:rsid w:val="00A327D5"/>
    <w:rsid w:val="00A352FA"/>
    <w:rsid w:val="00A353A4"/>
    <w:rsid w:val="00A37291"/>
    <w:rsid w:val="00A41EBF"/>
    <w:rsid w:val="00A42FBB"/>
    <w:rsid w:val="00A4433F"/>
    <w:rsid w:val="00A459B5"/>
    <w:rsid w:val="00A52050"/>
    <w:rsid w:val="00A52F85"/>
    <w:rsid w:val="00A5302B"/>
    <w:rsid w:val="00A56B14"/>
    <w:rsid w:val="00A61F10"/>
    <w:rsid w:val="00A62069"/>
    <w:rsid w:val="00A62FB7"/>
    <w:rsid w:val="00A6398A"/>
    <w:rsid w:val="00A647A4"/>
    <w:rsid w:val="00A64B79"/>
    <w:rsid w:val="00A667E5"/>
    <w:rsid w:val="00A708BB"/>
    <w:rsid w:val="00A70C56"/>
    <w:rsid w:val="00A723D8"/>
    <w:rsid w:val="00A7482E"/>
    <w:rsid w:val="00A74FCB"/>
    <w:rsid w:val="00A777E7"/>
    <w:rsid w:val="00A810D9"/>
    <w:rsid w:val="00A8201B"/>
    <w:rsid w:val="00A8238D"/>
    <w:rsid w:val="00A8446B"/>
    <w:rsid w:val="00A85B60"/>
    <w:rsid w:val="00A85FC3"/>
    <w:rsid w:val="00A869F9"/>
    <w:rsid w:val="00A87E2D"/>
    <w:rsid w:val="00A9074D"/>
    <w:rsid w:val="00A9206E"/>
    <w:rsid w:val="00A9530E"/>
    <w:rsid w:val="00A971B8"/>
    <w:rsid w:val="00A97568"/>
    <w:rsid w:val="00AA1985"/>
    <w:rsid w:val="00AB1A95"/>
    <w:rsid w:val="00AB1E8B"/>
    <w:rsid w:val="00AB3B09"/>
    <w:rsid w:val="00AB48CE"/>
    <w:rsid w:val="00AB5209"/>
    <w:rsid w:val="00AB5C75"/>
    <w:rsid w:val="00AB6920"/>
    <w:rsid w:val="00AB7609"/>
    <w:rsid w:val="00AC04F3"/>
    <w:rsid w:val="00AC17BC"/>
    <w:rsid w:val="00AC3A74"/>
    <w:rsid w:val="00AC6284"/>
    <w:rsid w:val="00AD1211"/>
    <w:rsid w:val="00AD129A"/>
    <w:rsid w:val="00AD186A"/>
    <w:rsid w:val="00AD240F"/>
    <w:rsid w:val="00AD3C8E"/>
    <w:rsid w:val="00AD4210"/>
    <w:rsid w:val="00AD4812"/>
    <w:rsid w:val="00AD501E"/>
    <w:rsid w:val="00AD656B"/>
    <w:rsid w:val="00AD7F8D"/>
    <w:rsid w:val="00AE1661"/>
    <w:rsid w:val="00AE4C04"/>
    <w:rsid w:val="00AE6296"/>
    <w:rsid w:val="00AE6597"/>
    <w:rsid w:val="00AE66F5"/>
    <w:rsid w:val="00AE7598"/>
    <w:rsid w:val="00AE7897"/>
    <w:rsid w:val="00AF3791"/>
    <w:rsid w:val="00AF4F5E"/>
    <w:rsid w:val="00AF5E27"/>
    <w:rsid w:val="00AF784F"/>
    <w:rsid w:val="00B01203"/>
    <w:rsid w:val="00B01C95"/>
    <w:rsid w:val="00B02E4A"/>
    <w:rsid w:val="00B033FE"/>
    <w:rsid w:val="00B03C78"/>
    <w:rsid w:val="00B03D0F"/>
    <w:rsid w:val="00B0560D"/>
    <w:rsid w:val="00B1108D"/>
    <w:rsid w:val="00B14FB3"/>
    <w:rsid w:val="00B15BEC"/>
    <w:rsid w:val="00B1605D"/>
    <w:rsid w:val="00B17E73"/>
    <w:rsid w:val="00B203E1"/>
    <w:rsid w:val="00B210BB"/>
    <w:rsid w:val="00B219A6"/>
    <w:rsid w:val="00B2256D"/>
    <w:rsid w:val="00B263D0"/>
    <w:rsid w:val="00B32BCD"/>
    <w:rsid w:val="00B35824"/>
    <w:rsid w:val="00B35840"/>
    <w:rsid w:val="00B36D43"/>
    <w:rsid w:val="00B425EC"/>
    <w:rsid w:val="00B43358"/>
    <w:rsid w:val="00B44CA5"/>
    <w:rsid w:val="00B452C6"/>
    <w:rsid w:val="00B47BCC"/>
    <w:rsid w:val="00B51F0F"/>
    <w:rsid w:val="00B524BB"/>
    <w:rsid w:val="00B52CFA"/>
    <w:rsid w:val="00B55A1B"/>
    <w:rsid w:val="00B604E1"/>
    <w:rsid w:val="00B611EB"/>
    <w:rsid w:val="00B629EA"/>
    <w:rsid w:val="00B706F5"/>
    <w:rsid w:val="00B70F9D"/>
    <w:rsid w:val="00B74EB3"/>
    <w:rsid w:val="00B74F12"/>
    <w:rsid w:val="00B75AF4"/>
    <w:rsid w:val="00B814EC"/>
    <w:rsid w:val="00B81DE1"/>
    <w:rsid w:val="00B838DA"/>
    <w:rsid w:val="00B83B37"/>
    <w:rsid w:val="00B9036C"/>
    <w:rsid w:val="00B91F6D"/>
    <w:rsid w:val="00B9592E"/>
    <w:rsid w:val="00BA3629"/>
    <w:rsid w:val="00BA363E"/>
    <w:rsid w:val="00BA3B95"/>
    <w:rsid w:val="00BA4AFD"/>
    <w:rsid w:val="00BA53BA"/>
    <w:rsid w:val="00BA5F71"/>
    <w:rsid w:val="00BA5F89"/>
    <w:rsid w:val="00BA6599"/>
    <w:rsid w:val="00BA690D"/>
    <w:rsid w:val="00BA7269"/>
    <w:rsid w:val="00BB10A8"/>
    <w:rsid w:val="00BB181C"/>
    <w:rsid w:val="00BB1E3D"/>
    <w:rsid w:val="00BB30C4"/>
    <w:rsid w:val="00BB3126"/>
    <w:rsid w:val="00BB3EF8"/>
    <w:rsid w:val="00BB4E8A"/>
    <w:rsid w:val="00BB6493"/>
    <w:rsid w:val="00BC075D"/>
    <w:rsid w:val="00BC1637"/>
    <w:rsid w:val="00BC1957"/>
    <w:rsid w:val="00BC1C29"/>
    <w:rsid w:val="00BC2D94"/>
    <w:rsid w:val="00BD4AD8"/>
    <w:rsid w:val="00BD5C68"/>
    <w:rsid w:val="00BE0353"/>
    <w:rsid w:val="00BE5F9A"/>
    <w:rsid w:val="00BE60EA"/>
    <w:rsid w:val="00BE6346"/>
    <w:rsid w:val="00BE63DA"/>
    <w:rsid w:val="00BE6A4D"/>
    <w:rsid w:val="00BE6D04"/>
    <w:rsid w:val="00BF1BCE"/>
    <w:rsid w:val="00BF1F6F"/>
    <w:rsid w:val="00BF3A11"/>
    <w:rsid w:val="00BF54E1"/>
    <w:rsid w:val="00BF62EF"/>
    <w:rsid w:val="00C007E6"/>
    <w:rsid w:val="00C020B1"/>
    <w:rsid w:val="00C02B17"/>
    <w:rsid w:val="00C03B87"/>
    <w:rsid w:val="00C10C8F"/>
    <w:rsid w:val="00C11419"/>
    <w:rsid w:val="00C1240C"/>
    <w:rsid w:val="00C1264B"/>
    <w:rsid w:val="00C1486C"/>
    <w:rsid w:val="00C14D17"/>
    <w:rsid w:val="00C15256"/>
    <w:rsid w:val="00C1623C"/>
    <w:rsid w:val="00C17840"/>
    <w:rsid w:val="00C2049B"/>
    <w:rsid w:val="00C21CF0"/>
    <w:rsid w:val="00C21D8F"/>
    <w:rsid w:val="00C2484B"/>
    <w:rsid w:val="00C301F5"/>
    <w:rsid w:val="00C30DCA"/>
    <w:rsid w:val="00C32192"/>
    <w:rsid w:val="00C332BB"/>
    <w:rsid w:val="00C35329"/>
    <w:rsid w:val="00C354CF"/>
    <w:rsid w:val="00C35B05"/>
    <w:rsid w:val="00C37AA5"/>
    <w:rsid w:val="00C41194"/>
    <w:rsid w:val="00C41E96"/>
    <w:rsid w:val="00C4278E"/>
    <w:rsid w:val="00C4501C"/>
    <w:rsid w:val="00C45922"/>
    <w:rsid w:val="00C45A13"/>
    <w:rsid w:val="00C5766E"/>
    <w:rsid w:val="00C63397"/>
    <w:rsid w:val="00C63D2C"/>
    <w:rsid w:val="00C66084"/>
    <w:rsid w:val="00C717DD"/>
    <w:rsid w:val="00C71F17"/>
    <w:rsid w:val="00C72E06"/>
    <w:rsid w:val="00C74D7D"/>
    <w:rsid w:val="00C7657A"/>
    <w:rsid w:val="00C77D6B"/>
    <w:rsid w:val="00C80DAC"/>
    <w:rsid w:val="00C81F32"/>
    <w:rsid w:val="00C824A7"/>
    <w:rsid w:val="00C831E1"/>
    <w:rsid w:val="00C84442"/>
    <w:rsid w:val="00C84904"/>
    <w:rsid w:val="00C860E7"/>
    <w:rsid w:val="00C86113"/>
    <w:rsid w:val="00C86651"/>
    <w:rsid w:val="00C9288A"/>
    <w:rsid w:val="00C92F1C"/>
    <w:rsid w:val="00C93FC9"/>
    <w:rsid w:val="00C95F23"/>
    <w:rsid w:val="00C96CEE"/>
    <w:rsid w:val="00CA19A1"/>
    <w:rsid w:val="00CA1CCB"/>
    <w:rsid w:val="00CA2008"/>
    <w:rsid w:val="00CA2AE2"/>
    <w:rsid w:val="00CA2DBB"/>
    <w:rsid w:val="00CA363C"/>
    <w:rsid w:val="00CA37C7"/>
    <w:rsid w:val="00CA4EE5"/>
    <w:rsid w:val="00CA52D1"/>
    <w:rsid w:val="00CA5855"/>
    <w:rsid w:val="00CA586A"/>
    <w:rsid w:val="00CA5EF7"/>
    <w:rsid w:val="00CA5FC8"/>
    <w:rsid w:val="00CA6C5F"/>
    <w:rsid w:val="00CA7721"/>
    <w:rsid w:val="00CB070A"/>
    <w:rsid w:val="00CB3801"/>
    <w:rsid w:val="00CB3938"/>
    <w:rsid w:val="00CB59D8"/>
    <w:rsid w:val="00CB718D"/>
    <w:rsid w:val="00CC00A6"/>
    <w:rsid w:val="00CC169E"/>
    <w:rsid w:val="00CC19F6"/>
    <w:rsid w:val="00CC22A4"/>
    <w:rsid w:val="00CC2412"/>
    <w:rsid w:val="00CC3378"/>
    <w:rsid w:val="00CC46BE"/>
    <w:rsid w:val="00CC4DB2"/>
    <w:rsid w:val="00CC5CA6"/>
    <w:rsid w:val="00CC6673"/>
    <w:rsid w:val="00CC6AC4"/>
    <w:rsid w:val="00CC7B76"/>
    <w:rsid w:val="00CD0382"/>
    <w:rsid w:val="00CD1F69"/>
    <w:rsid w:val="00CD2435"/>
    <w:rsid w:val="00CE1BCE"/>
    <w:rsid w:val="00CE56F8"/>
    <w:rsid w:val="00CE68F1"/>
    <w:rsid w:val="00CE6EAF"/>
    <w:rsid w:val="00CE7120"/>
    <w:rsid w:val="00CF364C"/>
    <w:rsid w:val="00CF4BDE"/>
    <w:rsid w:val="00CF5321"/>
    <w:rsid w:val="00CF5C82"/>
    <w:rsid w:val="00CF677F"/>
    <w:rsid w:val="00D011B2"/>
    <w:rsid w:val="00D01FD3"/>
    <w:rsid w:val="00D039DB"/>
    <w:rsid w:val="00D03C8A"/>
    <w:rsid w:val="00D0579F"/>
    <w:rsid w:val="00D07DD9"/>
    <w:rsid w:val="00D100AF"/>
    <w:rsid w:val="00D11783"/>
    <w:rsid w:val="00D11828"/>
    <w:rsid w:val="00D11DD4"/>
    <w:rsid w:val="00D15870"/>
    <w:rsid w:val="00D17568"/>
    <w:rsid w:val="00D17F2C"/>
    <w:rsid w:val="00D21DDC"/>
    <w:rsid w:val="00D221EE"/>
    <w:rsid w:val="00D223FD"/>
    <w:rsid w:val="00D2291A"/>
    <w:rsid w:val="00D24A27"/>
    <w:rsid w:val="00D2695A"/>
    <w:rsid w:val="00D276C6"/>
    <w:rsid w:val="00D2770E"/>
    <w:rsid w:val="00D30F6E"/>
    <w:rsid w:val="00D328F6"/>
    <w:rsid w:val="00D346AB"/>
    <w:rsid w:val="00D34901"/>
    <w:rsid w:val="00D351D1"/>
    <w:rsid w:val="00D354AD"/>
    <w:rsid w:val="00D355D9"/>
    <w:rsid w:val="00D363CF"/>
    <w:rsid w:val="00D36CF8"/>
    <w:rsid w:val="00D37FDA"/>
    <w:rsid w:val="00D40C59"/>
    <w:rsid w:val="00D42542"/>
    <w:rsid w:val="00D44E51"/>
    <w:rsid w:val="00D451DE"/>
    <w:rsid w:val="00D4584B"/>
    <w:rsid w:val="00D46E39"/>
    <w:rsid w:val="00D47C5E"/>
    <w:rsid w:val="00D500CF"/>
    <w:rsid w:val="00D50757"/>
    <w:rsid w:val="00D516E5"/>
    <w:rsid w:val="00D55CBE"/>
    <w:rsid w:val="00D601E1"/>
    <w:rsid w:val="00D60A24"/>
    <w:rsid w:val="00D63977"/>
    <w:rsid w:val="00D6660D"/>
    <w:rsid w:val="00D679FC"/>
    <w:rsid w:val="00D70AB0"/>
    <w:rsid w:val="00D715C8"/>
    <w:rsid w:val="00D716A9"/>
    <w:rsid w:val="00D72283"/>
    <w:rsid w:val="00D738C1"/>
    <w:rsid w:val="00D80A25"/>
    <w:rsid w:val="00D8288D"/>
    <w:rsid w:val="00D828F4"/>
    <w:rsid w:val="00D83298"/>
    <w:rsid w:val="00D9794A"/>
    <w:rsid w:val="00DA13F3"/>
    <w:rsid w:val="00DA1EB0"/>
    <w:rsid w:val="00DA2072"/>
    <w:rsid w:val="00DA361D"/>
    <w:rsid w:val="00DA5C6E"/>
    <w:rsid w:val="00DA643F"/>
    <w:rsid w:val="00DA67A8"/>
    <w:rsid w:val="00DA6F35"/>
    <w:rsid w:val="00DB0755"/>
    <w:rsid w:val="00DB0B2D"/>
    <w:rsid w:val="00DB0E9D"/>
    <w:rsid w:val="00DB1D01"/>
    <w:rsid w:val="00DB3352"/>
    <w:rsid w:val="00DB3E0B"/>
    <w:rsid w:val="00DB4A3B"/>
    <w:rsid w:val="00DB4FD7"/>
    <w:rsid w:val="00DB7A8B"/>
    <w:rsid w:val="00DB7EC7"/>
    <w:rsid w:val="00DC041F"/>
    <w:rsid w:val="00DC1097"/>
    <w:rsid w:val="00DC4F96"/>
    <w:rsid w:val="00DC69CD"/>
    <w:rsid w:val="00DC6E9C"/>
    <w:rsid w:val="00DC75CB"/>
    <w:rsid w:val="00DD1EBA"/>
    <w:rsid w:val="00DD2579"/>
    <w:rsid w:val="00DD28D2"/>
    <w:rsid w:val="00DD448F"/>
    <w:rsid w:val="00DD5BE9"/>
    <w:rsid w:val="00DD5FDB"/>
    <w:rsid w:val="00DE0295"/>
    <w:rsid w:val="00DE3347"/>
    <w:rsid w:val="00DE3D32"/>
    <w:rsid w:val="00DE453A"/>
    <w:rsid w:val="00DE4F91"/>
    <w:rsid w:val="00DE54B4"/>
    <w:rsid w:val="00DE5A49"/>
    <w:rsid w:val="00DE61EA"/>
    <w:rsid w:val="00DF29CF"/>
    <w:rsid w:val="00DF53FD"/>
    <w:rsid w:val="00DF56D2"/>
    <w:rsid w:val="00DF5EA5"/>
    <w:rsid w:val="00DF6B2B"/>
    <w:rsid w:val="00DF7924"/>
    <w:rsid w:val="00E0025A"/>
    <w:rsid w:val="00E01288"/>
    <w:rsid w:val="00E06FAB"/>
    <w:rsid w:val="00E10D08"/>
    <w:rsid w:val="00E145F5"/>
    <w:rsid w:val="00E24695"/>
    <w:rsid w:val="00E27E5A"/>
    <w:rsid w:val="00E33B52"/>
    <w:rsid w:val="00E33C69"/>
    <w:rsid w:val="00E36E58"/>
    <w:rsid w:val="00E374CA"/>
    <w:rsid w:val="00E37527"/>
    <w:rsid w:val="00E42195"/>
    <w:rsid w:val="00E42D7E"/>
    <w:rsid w:val="00E4346C"/>
    <w:rsid w:val="00E444CF"/>
    <w:rsid w:val="00E444F6"/>
    <w:rsid w:val="00E511E3"/>
    <w:rsid w:val="00E5632A"/>
    <w:rsid w:val="00E572EA"/>
    <w:rsid w:val="00E57738"/>
    <w:rsid w:val="00E6101D"/>
    <w:rsid w:val="00E62049"/>
    <w:rsid w:val="00E636D8"/>
    <w:rsid w:val="00E63C6A"/>
    <w:rsid w:val="00E643DD"/>
    <w:rsid w:val="00E649C9"/>
    <w:rsid w:val="00E653B1"/>
    <w:rsid w:val="00E6691C"/>
    <w:rsid w:val="00E71DC1"/>
    <w:rsid w:val="00E72693"/>
    <w:rsid w:val="00E730F5"/>
    <w:rsid w:val="00E73565"/>
    <w:rsid w:val="00E73E95"/>
    <w:rsid w:val="00E75688"/>
    <w:rsid w:val="00E8019B"/>
    <w:rsid w:val="00E81588"/>
    <w:rsid w:val="00E82E23"/>
    <w:rsid w:val="00E8314A"/>
    <w:rsid w:val="00E85D2C"/>
    <w:rsid w:val="00E85E9E"/>
    <w:rsid w:val="00E87078"/>
    <w:rsid w:val="00E91283"/>
    <w:rsid w:val="00E91A10"/>
    <w:rsid w:val="00E97A99"/>
    <w:rsid w:val="00EA1E61"/>
    <w:rsid w:val="00EA3FFC"/>
    <w:rsid w:val="00EA4193"/>
    <w:rsid w:val="00EA4DEA"/>
    <w:rsid w:val="00EB17C6"/>
    <w:rsid w:val="00EB1973"/>
    <w:rsid w:val="00EB1CDE"/>
    <w:rsid w:val="00EB3139"/>
    <w:rsid w:val="00EB3C0E"/>
    <w:rsid w:val="00EB54EB"/>
    <w:rsid w:val="00EC003E"/>
    <w:rsid w:val="00EC078D"/>
    <w:rsid w:val="00ED010F"/>
    <w:rsid w:val="00ED3989"/>
    <w:rsid w:val="00ED3FDC"/>
    <w:rsid w:val="00ED4144"/>
    <w:rsid w:val="00ED4DD4"/>
    <w:rsid w:val="00EE0A6C"/>
    <w:rsid w:val="00EE30D8"/>
    <w:rsid w:val="00EE4FEA"/>
    <w:rsid w:val="00EE6BA4"/>
    <w:rsid w:val="00EF0AFB"/>
    <w:rsid w:val="00EF34F9"/>
    <w:rsid w:val="00EF3CA1"/>
    <w:rsid w:val="00EF6C5D"/>
    <w:rsid w:val="00F00BD1"/>
    <w:rsid w:val="00F01D36"/>
    <w:rsid w:val="00F048A0"/>
    <w:rsid w:val="00F04DE3"/>
    <w:rsid w:val="00F050EE"/>
    <w:rsid w:val="00F055DF"/>
    <w:rsid w:val="00F05DB2"/>
    <w:rsid w:val="00F133B7"/>
    <w:rsid w:val="00F14A6D"/>
    <w:rsid w:val="00F154D0"/>
    <w:rsid w:val="00F15E82"/>
    <w:rsid w:val="00F22440"/>
    <w:rsid w:val="00F2579B"/>
    <w:rsid w:val="00F26A8A"/>
    <w:rsid w:val="00F26D59"/>
    <w:rsid w:val="00F30D8D"/>
    <w:rsid w:val="00F31316"/>
    <w:rsid w:val="00F3544E"/>
    <w:rsid w:val="00F358AF"/>
    <w:rsid w:val="00F378EF"/>
    <w:rsid w:val="00F45085"/>
    <w:rsid w:val="00F45AC4"/>
    <w:rsid w:val="00F465D6"/>
    <w:rsid w:val="00F465FB"/>
    <w:rsid w:val="00F51233"/>
    <w:rsid w:val="00F52B6C"/>
    <w:rsid w:val="00F53547"/>
    <w:rsid w:val="00F559EE"/>
    <w:rsid w:val="00F6014F"/>
    <w:rsid w:val="00F6044F"/>
    <w:rsid w:val="00F62582"/>
    <w:rsid w:val="00F6414E"/>
    <w:rsid w:val="00F652FE"/>
    <w:rsid w:val="00F65AD2"/>
    <w:rsid w:val="00F65DE5"/>
    <w:rsid w:val="00F66888"/>
    <w:rsid w:val="00F70A48"/>
    <w:rsid w:val="00F736B8"/>
    <w:rsid w:val="00F744C0"/>
    <w:rsid w:val="00F74F9B"/>
    <w:rsid w:val="00F75B2B"/>
    <w:rsid w:val="00F75F1F"/>
    <w:rsid w:val="00F76081"/>
    <w:rsid w:val="00F8035D"/>
    <w:rsid w:val="00F81B68"/>
    <w:rsid w:val="00F8233D"/>
    <w:rsid w:val="00F82DC8"/>
    <w:rsid w:val="00F863E0"/>
    <w:rsid w:val="00F86BBC"/>
    <w:rsid w:val="00F87030"/>
    <w:rsid w:val="00F873CE"/>
    <w:rsid w:val="00F87C63"/>
    <w:rsid w:val="00F91710"/>
    <w:rsid w:val="00F92823"/>
    <w:rsid w:val="00F93736"/>
    <w:rsid w:val="00F93CC2"/>
    <w:rsid w:val="00F95C5F"/>
    <w:rsid w:val="00F9794F"/>
    <w:rsid w:val="00FA10F0"/>
    <w:rsid w:val="00FA50E0"/>
    <w:rsid w:val="00FA606F"/>
    <w:rsid w:val="00FA654A"/>
    <w:rsid w:val="00FA70BD"/>
    <w:rsid w:val="00FB3529"/>
    <w:rsid w:val="00FB37A4"/>
    <w:rsid w:val="00FB3946"/>
    <w:rsid w:val="00FB3ADA"/>
    <w:rsid w:val="00FB558F"/>
    <w:rsid w:val="00FB6252"/>
    <w:rsid w:val="00FB72B6"/>
    <w:rsid w:val="00FC03C8"/>
    <w:rsid w:val="00FC077F"/>
    <w:rsid w:val="00FC14A7"/>
    <w:rsid w:val="00FC1574"/>
    <w:rsid w:val="00FC1EA7"/>
    <w:rsid w:val="00FC6EFA"/>
    <w:rsid w:val="00FD19C6"/>
    <w:rsid w:val="00FD26FB"/>
    <w:rsid w:val="00FD364B"/>
    <w:rsid w:val="00FD3B6B"/>
    <w:rsid w:val="00FD48E5"/>
    <w:rsid w:val="00FD5DDA"/>
    <w:rsid w:val="00FD7A72"/>
    <w:rsid w:val="00FE2882"/>
    <w:rsid w:val="00FE35F7"/>
    <w:rsid w:val="00FE409A"/>
    <w:rsid w:val="00FE789D"/>
    <w:rsid w:val="00FF0549"/>
    <w:rsid w:val="00FF4655"/>
    <w:rsid w:val="00FF5E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77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annotation text" w:uiPriority="99"/>
    <w:lsdException w:name="footer" w:locked="1" w:uiPriority="99"/>
    <w:lsdException w:name="caption" w:locked="1" w:semiHidden="1" w:unhideWhenUsed="1" w:qFormat="1"/>
    <w:lsdException w:name="annotation reference" w:uiPriority="99"/>
    <w:lsdException w:name="page number" w:uiPriority="99"/>
    <w:lsdException w:name="Title" w:locked="1" w:uiPriority="10" w:qFormat="1"/>
    <w:lsdException w:name="Subtitle" w:locked="1" w:qFormat="1"/>
    <w:lsdException w:name="Hyperlink" w:uiPriority="99"/>
    <w:lsdException w:name="Strong" w:locked="1" w:qFormat="1"/>
    <w:lsdException w:name="Emphasis" w:locked="1" w:qFormat="1"/>
    <w:lsdException w:name="Normal (Web)" w:uiPriority="99"/>
    <w:lsdException w:name="annotation subject" w:uiPriority="99"/>
    <w:lsdException w:name="No List" w:uiPriority="99"/>
    <w:lsdException w:name="Balloon Text" w:uiPriority="99"/>
    <w:lsdException w:name="Table Grid" w:uiPriority="3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FDC"/>
    <w:rPr>
      <w:sz w:val="24"/>
      <w:szCs w:val="24"/>
    </w:rPr>
  </w:style>
  <w:style w:type="paragraph" w:styleId="Heading1">
    <w:name w:val="heading 1"/>
    <w:basedOn w:val="Normal"/>
    <w:next w:val="Normal"/>
    <w:link w:val="Heading1Char"/>
    <w:uiPriority w:val="9"/>
    <w:qFormat/>
    <w:rsid w:val="00ED3FDC"/>
    <w:pPr>
      <w:keepNext/>
      <w:outlineLvl w:val="0"/>
    </w:pPr>
    <w:rPr>
      <w:b/>
      <w:bCs/>
    </w:rPr>
  </w:style>
  <w:style w:type="paragraph" w:styleId="Heading2">
    <w:name w:val="heading 2"/>
    <w:basedOn w:val="Normal"/>
    <w:next w:val="Normal"/>
    <w:link w:val="Heading2Char"/>
    <w:uiPriority w:val="9"/>
    <w:qFormat/>
    <w:locked/>
    <w:rsid w:val="00FB3529"/>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ED3FD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locked/>
    <w:rsid w:val="00FB3529"/>
    <w:pPr>
      <w:widowControl w:val="0"/>
      <w:overflowPunct w:val="0"/>
      <w:autoSpaceDE w:val="0"/>
      <w:autoSpaceDN w:val="0"/>
      <w:adjustRightInd w:val="0"/>
      <w:spacing w:before="240" w:after="60"/>
      <w:textAlignment w:val="baseline"/>
      <w:outlineLvl w:val="5"/>
    </w:pPr>
    <w:rPr>
      <w:b/>
      <w:bCs/>
      <w:sz w:val="22"/>
      <w:szCs w:val="22"/>
    </w:rPr>
  </w:style>
  <w:style w:type="paragraph" w:styleId="Heading7">
    <w:name w:val="heading 7"/>
    <w:basedOn w:val="Normal"/>
    <w:next w:val="Normal"/>
    <w:link w:val="Heading7Char"/>
    <w:qFormat/>
    <w:locked/>
    <w:rsid w:val="00FB3529"/>
    <w:pPr>
      <w:widowControl w:val="0"/>
      <w:overflowPunct w:val="0"/>
      <w:autoSpaceDE w:val="0"/>
      <w:autoSpaceDN w:val="0"/>
      <w:adjustRightInd w:val="0"/>
      <w:spacing w:before="240" w:after="60"/>
      <w:textAlignment w:val="baseline"/>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524BB"/>
    <w:rPr>
      <w:rFonts w:ascii="Tahoma" w:hAnsi="Tahoma" w:cs="Tahoma"/>
      <w:sz w:val="16"/>
      <w:szCs w:val="16"/>
    </w:rPr>
  </w:style>
  <w:style w:type="character" w:styleId="Hyperlink">
    <w:name w:val="Hyperlink"/>
    <w:uiPriority w:val="99"/>
    <w:rsid w:val="000A3CD2"/>
    <w:rPr>
      <w:rFonts w:cs="Times New Roman"/>
      <w:color w:val="0000FF"/>
      <w:u w:val="single"/>
    </w:rPr>
  </w:style>
  <w:style w:type="character" w:styleId="FollowedHyperlink">
    <w:name w:val="FollowedHyperlink"/>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rsid w:val="00CE1BCE"/>
    <w:pPr>
      <w:tabs>
        <w:tab w:val="center" w:pos="4153"/>
        <w:tab w:val="right" w:pos="8306"/>
      </w:tabs>
    </w:pPr>
  </w:style>
  <w:style w:type="paragraph" w:styleId="Footer">
    <w:name w:val="footer"/>
    <w:basedOn w:val="Normal"/>
    <w:link w:val="FooterChar"/>
    <w:uiPriority w:val="99"/>
    <w:rsid w:val="00CE1BCE"/>
    <w:pPr>
      <w:tabs>
        <w:tab w:val="center" w:pos="4153"/>
        <w:tab w:val="right" w:pos="8306"/>
      </w:tabs>
    </w:pPr>
  </w:style>
  <w:style w:type="character" w:customStyle="1" w:styleId="HeaderChar">
    <w:name w:val="Header Char"/>
    <w:link w:val="Header"/>
    <w:locked/>
    <w:rsid w:val="00A810D9"/>
    <w:rPr>
      <w:rFonts w:cs="Times New Roman"/>
      <w:sz w:val="24"/>
      <w:szCs w:val="24"/>
      <w:lang w:val="x-none" w:eastAsia="en-US"/>
    </w:rPr>
  </w:style>
  <w:style w:type="character" w:customStyle="1" w:styleId="FooterChar">
    <w:name w:val="Footer Char"/>
    <w:link w:val="Footer"/>
    <w:uiPriority w:val="99"/>
    <w:locked/>
    <w:rsid w:val="00060939"/>
    <w:rPr>
      <w:rFonts w:cs="Times New Roman"/>
      <w:sz w:val="24"/>
      <w:szCs w:val="24"/>
      <w:lang w:val="x-none" w:eastAsia="en-US"/>
    </w:rPr>
  </w:style>
  <w:style w:type="character" w:styleId="Emphasis">
    <w:name w:val="Emphasis"/>
    <w:qFormat/>
    <w:rsid w:val="00ED3989"/>
    <w:rPr>
      <w:rFonts w:cs="Times New Roman"/>
      <w:i/>
      <w:iCs/>
    </w:rPr>
  </w:style>
  <w:style w:type="character" w:customStyle="1" w:styleId="Heading3Char">
    <w:name w:val="Heading 3 Char"/>
    <w:link w:val="Heading3"/>
    <w:uiPriority w:val="9"/>
    <w:locked/>
    <w:rsid w:val="00505F8C"/>
    <w:rPr>
      <w:rFonts w:ascii="Arial" w:hAnsi="Arial" w:cs="Arial"/>
      <w:b/>
      <w:bCs/>
      <w:sz w:val="26"/>
      <w:szCs w:val="26"/>
      <w:lang w:val="x-none" w:eastAsia="en-US"/>
    </w:rPr>
  </w:style>
  <w:style w:type="table" w:styleId="TableGrid">
    <w:name w:val="Table Grid"/>
    <w:basedOn w:val="TableNormal"/>
    <w:uiPriority w:val="39"/>
    <w:rsid w:val="00505F8C"/>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1E1DA5"/>
    <w:rPr>
      <w:rFonts w:ascii="Gill Sans" w:hAnsi="Gill Sans" w:cs="Courier New"/>
      <w:bCs/>
      <w:spacing w:val="4"/>
      <w:sz w:val="20"/>
      <w:szCs w:val="20"/>
    </w:rPr>
  </w:style>
  <w:style w:type="character" w:customStyle="1" w:styleId="PlainTextChar">
    <w:name w:val="Plain Text Char"/>
    <w:link w:val="PlainText"/>
    <w:rsid w:val="001E1DA5"/>
    <w:rPr>
      <w:rFonts w:ascii="Gill Sans" w:hAnsi="Gill Sans" w:cs="Courier New"/>
      <w:bCs/>
      <w:spacing w:val="4"/>
      <w:lang w:val="en-GB" w:eastAsia="en-US" w:bidi="ar-SA"/>
    </w:rPr>
  </w:style>
  <w:style w:type="paragraph" w:customStyle="1" w:styleId="Default">
    <w:name w:val="Default"/>
    <w:rsid w:val="001E1DA5"/>
    <w:pPr>
      <w:autoSpaceDE w:val="0"/>
      <w:autoSpaceDN w:val="0"/>
      <w:adjustRightInd w:val="0"/>
    </w:pPr>
    <w:rPr>
      <w:rFonts w:ascii="Arial" w:hAnsi="Arial" w:cs="Arial"/>
      <w:color w:val="000000"/>
      <w:sz w:val="24"/>
      <w:szCs w:val="24"/>
      <w:lang w:eastAsia="en-GB"/>
    </w:rPr>
  </w:style>
  <w:style w:type="paragraph" w:customStyle="1" w:styleId="ColorfulList-Accent11">
    <w:name w:val="Colorful List - Accent 11"/>
    <w:basedOn w:val="Normal"/>
    <w:uiPriority w:val="34"/>
    <w:qFormat/>
    <w:rsid w:val="007C1796"/>
    <w:pPr>
      <w:ind w:left="720"/>
    </w:pPr>
    <w:rPr>
      <w:rFonts w:eastAsia="Calibri"/>
      <w:lang w:eastAsia="en-GB"/>
    </w:rPr>
  </w:style>
  <w:style w:type="paragraph" w:customStyle="1" w:styleId="Pa1">
    <w:name w:val="Pa1"/>
    <w:basedOn w:val="Default"/>
    <w:next w:val="Default"/>
    <w:uiPriority w:val="99"/>
    <w:rsid w:val="007C1796"/>
    <w:pPr>
      <w:spacing w:line="201" w:lineRule="atLeast"/>
    </w:pPr>
    <w:rPr>
      <w:rFonts w:ascii="National Regular" w:eastAsia="Calibri" w:hAnsi="National Regular" w:cs="Times New Roman"/>
      <w:color w:val="auto"/>
      <w:lang w:eastAsia="en-US"/>
    </w:rPr>
  </w:style>
  <w:style w:type="paragraph" w:customStyle="1" w:styleId="Pa4">
    <w:name w:val="Pa4"/>
    <w:basedOn w:val="Default"/>
    <w:next w:val="Default"/>
    <w:uiPriority w:val="99"/>
    <w:rsid w:val="007C1796"/>
    <w:pPr>
      <w:spacing w:line="201" w:lineRule="atLeast"/>
    </w:pPr>
    <w:rPr>
      <w:rFonts w:ascii="National Regular" w:eastAsia="Calibri" w:hAnsi="National Regular" w:cs="Times New Roman"/>
      <w:color w:val="auto"/>
      <w:lang w:eastAsia="en-US"/>
    </w:rPr>
  </w:style>
  <w:style w:type="character" w:customStyle="1" w:styleId="Heading2Char">
    <w:name w:val="Heading 2 Char"/>
    <w:link w:val="Heading2"/>
    <w:uiPriority w:val="9"/>
    <w:rsid w:val="00FB3529"/>
    <w:rPr>
      <w:rFonts w:ascii="Calibri" w:eastAsia="MS Gothic" w:hAnsi="Calibri" w:cs="Times New Roman"/>
      <w:b/>
      <w:bCs/>
      <w:i/>
      <w:iCs/>
      <w:sz w:val="28"/>
      <w:szCs w:val="28"/>
    </w:rPr>
  </w:style>
  <w:style w:type="character" w:customStyle="1" w:styleId="Heading6Char">
    <w:name w:val="Heading 6 Char"/>
    <w:link w:val="Heading6"/>
    <w:rsid w:val="00FB3529"/>
    <w:rPr>
      <w:b/>
      <w:bCs/>
      <w:sz w:val="22"/>
      <w:szCs w:val="22"/>
    </w:rPr>
  </w:style>
  <w:style w:type="character" w:customStyle="1" w:styleId="Heading7Char">
    <w:name w:val="Heading 7 Char"/>
    <w:link w:val="Heading7"/>
    <w:rsid w:val="00FB3529"/>
    <w:rPr>
      <w:sz w:val="24"/>
      <w:szCs w:val="24"/>
    </w:rPr>
  </w:style>
  <w:style w:type="character" w:customStyle="1" w:styleId="Heading1Char">
    <w:name w:val="Heading 1 Char"/>
    <w:link w:val="Heading1"/>
    <w:uiPriority w:val="9"/>
    <w:rsid w:val="00FB3529"/>
    <w:rPr>
      <w:b/>
      <w:bCs/>
      <w:sz w:val="24"/>
      <w:szCs w:val="24"/>
    </w:rPr>
  </w:style>
  <w:style w:type="paragraph" w:customStyle="1" w:styleId="CHARLOTTE">
    <w:name w:val="CHARLOTTE"/>
    <w:basedOn w:val="Normal"/>
    <w:qFormat/>
    <w:rsid w:val="00FB3529"/>
    <w:pPr>
      <w:widowControl w:val="0"/>
      <w:overflowPunct w:val="0"/>
      <w:autoSpaceDE w:val="0"/>
      <w:autoSpaceDN w:val="0"/>
      <w:adjustRightInd w:val="0"/>
      <w:textAlignment w:val="baseline"/>
    </w:pPr>
    <w:rPr>
      <w:sz w:val="22"/>
      <w:szCs w:val="20"/>
      <w:lang w:val="en-US"/>
    </w:rPr>
  </w:style>
  <w:style w:type="paragraph" w:customStyle="1" w:styleId="indent">
    <w:name w:val="indent"/>
    <w:basedOn w:val="Normal"/>
    <w:uiPriority w:val="99"/>
    <w:rsid w:val="00FB3529"/>
    <w:pPr>
      <w:tabs>
        <w:tab w:val="left" w:pos="720"/>
        <w:tab w:val="left" w:pos="1440"/>
      </w:tabs>
      <w:overflowPunct w:val="0"/>
      <w:autoSpaceDE w:val="0"/>
      <w:autoSpaceDN w:val="0"/>
      <w:adjustRightInd w:val="0"/>
      <w:ind w:left="720" w:hanging="720"/>
      <w:jc w:val="both"/>
      <w:textAlignment w:val="baseline"/>
    </w:pPr>
    <w:rPr>
      <w:sz w:val="22"/>
      <w:szCs w:val="20"/>
    </w:rPr>
  </w:style>
  <w:style w:type="character" w:styleId="PageNumber">
    <w:name w:val="page number"/>
    <w:uiPriority w:val="99"/>
    <w:rsid w:val="00FB3529"/>
  </w:style>
  <w:style w:type="paragraph" w:styleId="BodyText2">
    <w:name w:val="Body Text 2"/>
    <w:basedOn w:val="Normal"/>
    <w:link w:val="BodyText2Char"/>
    <w:rsid w:val="00FB3529"/>
    <w:pPr>
      <w:widowControl w:val="0"/>
      <w:tabs>
        <w:tab w:val="left" w:pos="720"/>
        <w:tab w:val="left" w:pos="1440"/>
      </w:tabs>
      <w:overflowPunct w:val="0"/>
      <w:autoSpaceDE w:val="0"/>
      <w:autoSpaceDN w:val="0"/>
      <w:adjustRightInd w:val="0"/>
      <w:ind w:left="1440" w:hanging="1440"/>
      <w:jc w:val="both"/>
      <w:textAlignment w:val="baseline"/>
    </w:pPr>
    <w:rPr>
      <w:i/>
      <w:sz w:val="22"/>
      <w:szCs w:val="20"/>
    </w:rPr>
  </w:style>
  <w:style w:type="character" w:customStyle="1" w:styleId="BodyText2Char">
    <w:name w:val="Body Text 2 Char"/>
    <w:link w:val="BodyText2"/>
    <w:rsid w:val="00FB3529"/>
    <w:rPr>
      <w:i/>
      <w:sz w:val="22"/>
    </w:rPr>
  </w:style>
  <w:style w:type="paragraph" w:styleId="BodyText">
    <w:name w:val="Body Text"/>
    <w:basedOn w:val="Normal"/>
    <w:link w:val="BodyTextChar"/>
    <w:rsid w:val="00FB3529"/>
    <w:pPr>
      <w:widowControl w:val="0"/>
      <w:overflowPunct w:val="0"/>
      <w:autoSpaceDE w:val="0"/>
      <w:autoSpaceDN w:val="0"/>
      <w:adjustRightInd w:val="0"/>
      <w:jc w:val="center"/>
      <w:textAlignment w:val="baseline"/>
    </w:pPr>
    <w:rPr>
      <w:b/>
      <w:szCs w:val="20"/>
    </w:rPr>
  </w:style>
  <w:style w:type="character" w:customStyle="1" w:styleId="BodyTextChar">
    <w:name w:val="Body Text Char"/>
    <w:link w:val="BodyText"/>
    <w:rsid w:val="00FB3529"/>
    <w:rPr>
      <w:b/>
      <w:sz w:val="24"/>
    </w:rPr>
  </w:style>
  <w:style w:type="paragraph" w:customStyle="1" w:styleId="Text">
    <w:name w:val="Text"/>
    <w:basedOn w:val="Normal"/>
    <w:link w:val="TextChar"/>
    <w:rsid w:val="00FB3529"/>
    <w:pPr>
      <w:tabs>
        <w:tab w:val="left" w:pos="284"/>
      </w:tabs>
      <w:overflowPunct w:val="0"/>
      <w:autoSpaceDE w:val="0"/>
      <w:autoSpaceDN w:val="0"/>
      <w:adjustRightInd w:val="0"/>
      <w:spacing w:after="260"/>
      <w:jc w:val="both"/>
      <w:textAlignment w:val="baseline"/>
    </w:pPr>
    <w:rPr>
      <w:sz w:val="20"/>
      <w:szCs w:val="20"/>
      <w:lang w:val="x-none" w:eastAsia="en-GB"/>
    </w:rPr>
  </w:style>
  <w:style w:type="character" w:customStyle="1" w:styleId="TextChar">
    <w:name w:val="Text Char"/>
    <w:link w:val="Text"/>
    <w:locked/>
    <w:rsid w:val="00FB3529"/>
    <w:rPr>
      <w:lang w:val="x-none" w:eastAsia="en-GB"/>
    </w:rPr>
  </w:style>
  <w:style w:type="character" w:customStyle="1" w:styleId="BalloonTextChar">
    <w:name w:val="Balloon Text Char"/>
    <w:link w:val="BalloonText"/>
    <w:uiPriority w:val="99"/>
    <w:rsid w:val="00FB3529"/>
    <w:rPr>
      <w:rFonts w:ascii="Tahoma" w:hAnsi="Tahoma" w:cs="Tahoma"/>
      <w:sz w:val="16"/>
      <w:szCs w:val="16"/>
    </w:rPr>
  </w:style>
  <w:style w:type="character" w:styleId="CommentReference">
    <w:name w:val="annotation reference"/>
    <w:uiPriority w:val="99"/>
    <w:unhideWhenUsed/>
    <w:rsid w:val="00FB3529"/>
    <w:rPr>
      <w:sz w:val="16"/>
      <w:szCs w:val="16"/>
    </w:rPr>
  </w:style>
  <w:style w:type="paragraph" w:styleId="CommentText">
    <w:name w:val="annotation text"/>
    <w:basedOn w:val="Normal"/>
    <w:link w:val="CommentTextChar"/>
    <w:uiPriority w:val="99"/>
    <w:unhideWhenUsed/>
    <w:rsid w:val="00FB3529"/>
    <w:pPr>
      <w:widowControl w:val="0"/>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rsid w:val="00FB3529"/>
  </w:style>
  <w:style w:type="character" w:customStyle="1" w:styleId="CommentSubjectChar">
    <w:name w:val="Comment Subject Char"/>
    <w:link w:val="CommentSubject"/>
    <w:uiPriority w:val="99"/>
    <w:rsid w:val="00FB3529"/>
    <w:rPr>
      <w:b/>
      <w:bCs/>
    </w:rPr>
  </w:style>
  <w:style w:type="paragraph" w:styleId="CommentSubject">
    <w:name w:val="annotation subject"/>
    <w:basedOn w:val="CommentText"/>
    <w:next w:val="CommentText"/>
    <w:link w:val="CommentSubjectChar"/>
    <w:uiPriority w:val="99"/>
    <w:unhideWhenUsed/>
    <w:rsid w:val="00FB3529"/>
    <w:rPr>
      <w:b/>
      <w:bCs/>
    </w:rPr>
  </w:style>
  <w:style w:type="character" w:customStyle="1" w:styleId="CommentSubjectChar1">
    <w:name w:val="Comment Subject Char1"/>
    <w:rsid w:val="00FB3529"/>
    <w:rPr>
      <w:b/>
      <w:bCs/>
    </w:rPr>
  </w:style>
  <w:style w:type="paragraph" w:customStyle="1" w:styleId="zapf">
    <w:name w:val="zapf"/>
    <w:basedOn w:val="Normal"/>
    <w:rsid w:val="004314EC"/>
    <w:rPr>
      <w:rFonts w:ascii="Arial" w:hAnsi="Arial" w:cs="Arial"/>
      <w:b/>
      <w:color w:val="FF0000"/>
      <w:lang w:eastAsia="en-GB"/>
    </w:rPr>
  </w:style>
  <w:style w:type="character" w:customStyle="1" w:styleId="apple-converted-space">
    <w:name w:val="apple-converted-space"/>
    <w:rsid w:val="00173F5C"/>
  </w:style>
  <w:style w:type="paragraph" w:styleId="Revision">
    <w:name w:val="Revision"/>
    <w:hidden/>
    <w:uiPriority w:val="99"/>
    <w:semiHidden/>
    <w:rsid w:val="009F6A62"/>
    <w:rPr>
      <w:sz w:val="24"/>
      <w:szCs w:val="24"/>
    </w:rPr>
  </w:style>
  <w:style w:type="paragraph" w:styleId="ListParagraph">
    <w:name w:val="List Paragraph"/>
    <w:basedOn w:val="Normal"/>
    <w:uiPriority w:val="34"/>
    <w:qFormat/>
    <w:rsid w:val="00F66888"/>
    <w:pPr>
      <w:ind w:left="720"/>
      <w:contextualSpacing/>
      <w:jc w:val="both"/>
    </w:pPr>
    <w:rPr>
      <w:rFonts w:ascii="Calibri" w:eastAsia="Calibri" w:hAnsi="Calibri"/>
      <w:sz w:val="22"/>
    </w:rPr>
  </w:style>
  <w:style w:type="paragraph" w:styleId="Title">
    <w:name w:val="Title"/>
    <w:basedOn w:val="Normal"/>
    <w:next w:val="Normal"/>
    <w:link w:val="TitleChar"/>
    <w:uiPriority w:val="10"/>
    <w:qFormat/>
    <w:locked/>
    <w:rsid w:val="00F66888"/>
    <w:pPr>
      <w:contextualSpacing/>
      <w:jc w:val="both"/>
    </w:pPr>
    <w:rPr>
      <w:rFonts w:ascii="Calibri Light" w:eastAsia="Yu Gothic Light" w:hAnsi="Calibri Light"/>
      <w:spacing w:val="-10"/>
      <w:kern w:val="28"/>
      <w:sz w:val="56"/>
      <w:szCs w:val="56"/>
    </w:rPr>
  </w:style>
  <w:style w:type="character" w:customStyle="1" w:styleId="TitleChar">
    <w:name w:val="Title Char"/>
    <w:basedOn w:val="DefaultParagraphFont"/>
    <w:link w:val="Title"/>
    <w:uiPriority w:val="10"/>
    <w:rsid w:val="00F66888"/>
    <w:rPr>
      <w:rFonts w:ascii="Calibri Light" w:eastAsia="Yu Gothic Light" w:hAnsi="Calibri Light"/>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annotation text" w:uiPriority="99"/>
    <w:lsdException w:name="footer" w:locked="1" w:uiPriority="99"/>
    <w:lsdException w:name="caption" w:locked="1" w:semiHidden="1" w:unhideWhenUsed="1" w:qFormat="1"/>
    <w:lsdException w:name="annotation reference" w:uiPriority="99"/>
    <w:lsdException w:name="page number" w:uiPriority="99"/>
    <w:lsdException w:name="Title" w:locked="1" w:uiPriority="10" w:qFormat="1"/>
    <w:lsdException w:name="Subtitle" w:locked="1" w:qFormat="1"/>
    <w:lsdException w:name="Hyperlink" w:uiPriority="99"/>
    <w:lsdException w:name="Strong" w:locked="1" w:qFormat="1"/>
    <w:lsdException w:name="Emphasis" w:locked="1" w:qFormat="1"/>
    <w:lsdException w:name="Normal (Web)" w:uiPriority="99"/>
    <w:lsdException w:name="annotation subject" w:uiPriority="99"/>
    <w:lsdException w:name="No List" w:uiPriority="99"/>
    <w:lsdException w:name="Balloon Text" w:uiPriority="99"/>
    <w:lsdException w:name="Table Grid" w:uiPriority="3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FDC"/>
    <w:rPr>
      <w:sz w:val="24"/>
      <w:szCs w:val="24"/>
    </w:rPr>
  </w:style>
  <w:style w:type="paragraph" w:styleId="Heading1">
    <w:name w:val="heading 1"/>
    <w:basedOn w:val="Normal"/>
    <w:next w:val="Normal"/>
    <w:link w:val="Heading1Char"/>
    <w:uiPriority w:val="9"/>
    <w:qFormat/>
    <w:rsid w:val="00ED3FDC"/>
    <w:pPr>
      <w:keepNext/>
      <w:outlineLvl w:val="0"/>
    </w:pPr>
    <w:rPr>
      <w:b/>
      <w:bCs/>
    </w:rPr>
  </w:style>
  <w:style w:type="paragraph" w:styleId="Heading2">
    <w:name w:val="heading 2"/>
    <w:basedOn w:val="Normal"/>
    <w:next w:val="Normal"/>
    <w:link w:val="Heading2Char"/>
    <w:uiPriority w:val="9"/>
    <w:qFormat/>
    <w:locked/>
    <w:rsid w:val="00FB3529"/>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ED3FD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locked/>
    <w:rsid w:val="00FB3529"/>
    <w:pPr>
      <w:widowControl w:val="0"/>
      <w:overflowPunct w:val="0"/>
      <w:autoSpaceDE w:val="0"/>
      <w:autoSpaceDN w:val="0"/>
      <w:adjustRightInd w:val="0"/>
      <w:spacing w:before="240" w:after="60"/>
      <w:textAlignment w:val="baseline"/>
      <w:outlineLvl w:val="5"/>
    </w:pPr>
    <w:rPr>
      <w:b/>
      <w:bCs/>
      <w:sz w:val="22"/>
      <w:szCs w:val="22"/>
    </w:rPr>
  </w:style>
  <w:style w:type="paragraph" w:styleId="Heading7">
    <w:name w:val="heading 7"/>
    <w:basedOn w:val="Normal"/>
    <w:next w:val="Normal"/>
    <w:link w:val="Heading7Char"/>
    <w:qFormat/>
    <w:locked/>
    <w:rsid w:val="00FB3529"/>
    <w:pPr>
      <w:widowControl w:val="0"/>
      <w:overflowPunct w:val="0"/>
      <w:autoSpaceDE w:val="0"/>
      <w:autoSpaceDN w:val="0"/>
      <w:adjustRightInd w:val="0"/>
      <w:spacing w:before="240" w:after="60"/>
      <w:textAlignment w:val="baseline"/>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524BB"/>
    <w:rPr>
      <w:rFonts w:ascii="Tahoma" w:hAnsi="Tahoma" w:cs="Tahoma"/>
      <w:sz w:val="16"/>
      <w:szCs w:val="16"/>
    </w:rPr>
  </w:style>
  <w:style w:type="character" w:styleId="Hyperlink">
    <w:name w:val="Hyperlink"/>
    <w:uiPriority w:val="99"/>
    <w:rsid w:val="000A3CD2"/>
    <w:rPr>
      <w:rFonts w:cs="Times New Roman"/>
      <w:color w:val="0000FF"/>
      <w:u w:val="single"/>
    </w:rPr>
  </w:style>
  <w:style w:type="character" w:styleId="FollowedHyperlink">
    <w:name w:val="FollowedHyperlink"/>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rsid w:val="00CE1BCE"/>
    <w:pPr>
      <w:tabs>
        <w:tab w:val="center" w:pos="4153"/>
        <w:tab w:val="right" w:pos="8306"/>
      </w:tabs>
    </w:pPr>
  </w:style>
  <w:style w:type="paragraph" w:styleId="Footer">
    <w:name w:val="footer"/>
    <w:basedOn w:val="Normal"/>
    <w:link w:val="FooterChar"/>
    <w:uiPriority w:val="99"/>
    <w:rsid w:val="00CE1BCE"/>
    <w:pPr>
      <w:tabs>
        <w:tab w:val="center" w:pos="4153"/>
        <w:tab w:val="right" w:pos="8306"/>
      </w:tabs>
    </w:pPr>
  </w:style>
  <w:style w:type="character" w:customStyle="1" w:styleId="HeaderChar">
    <w:name w:val="Header Char"/>
    <w:link w:val="Header"/>
    <w:locked/>
    <w:rsid w:val="00A810D9"/>
    <w:rPr>
      <w:rFonts w:cs="Times New Roman"/>
      <w:sz w:val="24"/>
      <w:szCs w:val="24"/>
      <w:lang w:val="x-none" w:eastAsia="en-US"/>
    </w:rPr>
  </w:style>
  <w:style w:type="character" w:customStyle="1" w:styleId="FooterChar">
    <w:name w:val="Footer Char"/>
    <w:link w:val="Footer"/>
    <w:uiPriority w:val="99"/>
    <w:locked/>
    <w:rsid w:val="00060939"/>
    <w:rPr>
      <w:rFonts w:cs="Times New Roman"/>
      <w:sz w:val="24"/>
      <w:szCs w:val="24"/>
      <w:lang w:val="x-none" w:eastAsia="en-US"/>
    </w:rPr>
  </w:style>
  <w:style w:type="character" w:styleId="Emphasis">
    <w:name w:val="Emphasis"/>
    <w:qFormat/>
    <w:rsid w:val="00ED3989"/>
    <w:rPr>
      <w:rFonts w:cs="Times New Roman"/>
      <w:i/>
      <w:iCs/>
    </w:rPr>
  </w:style>
  <w:style w:type="character" w:customStyle="1" w:styleId="Heading3Char">
    <w:name w:val="Heading 3 Char"/>
    <w:link w:val="Heading3"/>
    <w:uiPriority w:val="9"/>
    <w:locked/>
    <w:rsid w:val="00505F8C"/>
    <w:rPr>
      <w:rFonts w:ascii="Arial" w:hAnsi="Arial" w:cs="Arial"/>
      <w:b/>
      <w:bCs/>
      <w:sz w:val="26"/>
      <w:szCs w:val="26"/>
      <w:lang w:val="x-none" w:eastAsia="en-US"/>
    </w:rPr>
  </w:style>
  <w:style w:type="table" w:styleId="TableGrid">
    <w:name w:val="Table Grid"/>
    <w:basedOn w:val="TableNormal"/>
    <w:uiPriority w:val="39"/>
    <w:rsid w:val="00505F8C"/>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1E1DA5"/>
    <w:rPr>
      <w:rFonts w:ascii="Gill Sans" w:hAnsi="Gill Sans" w:cs="Courier New"/>
      <w:bCs/>
      <w:spacing w:val="4"/>
      <w:sz w:val="20"/>
      <w:szCs w:val="20"/>
    </w:rPr>
  </w:style>
  <w:style w:type="character" w:customStyle="1" w:styleId="PlainTextChar">
    <w:name w:val="Plain Text Char"/>
    <w:link w:val="PlainText"/>
    <w:rsid w:val="001E1DA5"/>
    <w:rPr>
      <w:rFonts w:ascii="Gill Sans" w:hAnsi="Gill Sans" w:cs="Courier New"/>
      <w:bCs/>
      <w:spacing w:val="4"/>
      <w:lang w:val="en-GB" w:eastAsia="en-US" w:bidi="ar-SA"/>
    </w:rPr>
  </w:style>
  <w:style w:type="paragraph" w:customStyle="1" w:styleId="Default">
    <w:name w:val="Default"/>
    <w:rsid w:val="001E1DA5"/>
    <w:pPr>
      <w:autoSpaceDE w:val="0"/>
      <w:autoSpaceDN w:val="0"/>
      <w:adjustRightInd w:val="0"/>
    </w:pPr>
    <w:rPr>
      <w:rFonts w:ascii="Arial" w:hAnsi="Arial" w:cs="Arial"/>
      <w:color w:val="000000"/>
      <w:sz w:val="24"/>
      <w:szCs w:val="24"/>
      <w:lang w:eastAsia="en-GB"/>
    </w:rPr>
  </w:style>
  <w:style w:type="paragraph" w:customStyle="1" w:styleId="ColorfulList-Accent11">
    <w:name w:val="Colorful List - Accent 11"/>
    <w:basedOn w:val="Normal"/>
    <w:uiPriority w:val="34"/>
    <w:qFormat/>
    <w:rsid w:val="007C1796"/>
    <w:pPr>
      <w:ind w:left="720"/>
    </w:pPr>
    <w:rPr>
      <w:rFonts w:eastAsia="Calibri"/>
      <w:lang w:eastAsia="en-GB"/>
    </w:rPr>
  </w:style>
  <w:style w:type="paragraph" w:customStyle="1" w:styleId="Pa1">
    <w:name w:val="Pa1"/>
    <w:basedOn w:val="Default"/>
    <w:next w:val="Default"/>
    <w:uiPriority w:val="99"/>
    <w:rsid w:val="007C1796"/>
    <w:pPr>
      <w:spacing w:line="201" w:lineRule="atLeast"/>
    </w:pPr>
    <w:rPr>
      <w:rFonts w:ascii="National Regular" w:eastAsia="Calibri" w:hAnsi="National Regular" w:cs="Times New Roman"/>
      <w:color w:val="auto"/>
      <w:lang w:eastAsia="en-US"/>
    </w:rPr>
  </w:style>
  <w:style w:type="paragraph" w:customStyle="1" w:styleId="Pa4">
    <w:name w:val="Pa4"/>
    <w:basedOn w:val="Default"/>
    <w:next w:val="Default"/>
    <w:uiPriority w:val="99"/>
    <w:rsid w:val="007C1796"/>
    <w:pPr>
      <w:spacing w:line="201" w:lineRule="atLeast"/>
    </w:pPr>
    <w:rPr>
      <w:rFonts w:ascii="National Regular" w:eastAsia="Calibri" w:hAnsi="National Regular" w:cs="Times New Roman"/>
      <w:color w:val="auto"/>
      <w:lang w:eastAsia="en-US"/>
    </w:rPr>
  </w:style>
  <w:style w:type="character" w:customStyle="1" w:styleId="Heading2Char">
    <w:name w:val="Heading 2 Char"/>
    <w:link w:val="Heading2"/>
    <w:uiPriority w:val="9"/>
    <w:rsid w:val="00FB3529"/>
    <w:rPr>
      <w:rFonts w:ascii="Calibri" w:eastAsia="MS Gothic" w:hAnsi="Calibri" w:cs="Times New Roman"/>
      <w:b/>
      <w:bCs/>
      <w:i/>
      <w:iCs/>
      <w:sz w:val="28"/>
      <w:szCs w:val="28"/>
    </w:rPr>
  </w:style>
  <w:style w:type="character" w:customStyle="1" w:styleId="Heading6Char">
    <w:name w:val="Heading 6 Char"/>
    <w:link w:val="Heading6"/>
    <w:rsid w:val="00FB3529"/>
    <w:rPr>
      <w:b/>
      <w:bCs/>
      <w:sz w:val="22"/>
      <w:szCs w:val="22"/>
    </w:rPr>
  </w:style>
  <w:style w:type="character" w:customStyle="1" w:styleId="Heading7Char">
    <w:name w:val="Heading 7 Char"/>
    <w:link w:val="Heading7"/>
    <w:rsid w:val="00FB3529"/>
    <w:rPr>
      <w:sz w:val="24"/>
      <w:szCs w:val="24"/>
    </w:rPr>
  </w:style>
  <w:style w:type="character" w:customStyle="1" w:styleId="Heading1Char">
    <w:name w:val="Heading 1 Char"/>
    <w:link w:val="Heading1"/>
    <w:uiPriority w:val="9"/>
    <w:rsid w:val="00FB3529"/>
    <w:rPr>
      <w:b/>
      <w:bCs/>
      <w:sz w:val="24"/>
      <w:szCs w:val="24"/>
    </w:rPr>
  </w:style>
  <w:style w:type="paragraph" w:customStyle="1" w:styleId="CHARLOTTE">
    <w:name w:val="CHARLOTTE"/>
    <w:basedOn w:val="Normal"/>
    <w:qFormat/>
    <w:rsid w:val="00FB3529"/>
    <w:pPr>
      <w:widowControl w:val="0"/>
      <w:overflowPunct w:val="0"/>
      <w:autoSpaceDE w:val="0"/>
      <w:autoSpaceDN w:val="0"/>
      <w:adjustRightInd w:val="0"/>
      <w:textAlignment w:val="baseline"/>
    </w:pPr>
    <w:rPr>
      <w:sz w:val="22"/>
      <w:szCs w:val="20"/>
      <w:lang w:val="en-US"/>
    </w:rPr>
  </w:style>
  <w:style w:type="paragraph" w:customStyle="1" w:styleId="indent">
    <w:name w:val="indent"/>
    <w:basedOn w:val="Normal"/>
    <w:uiPriority w:val="99"/>
    <w:rsid w:val="00FB3529"/>
    <w:pPr>
      <w:tabs>
        <w:tab w:val="left" w:pos="720"/>
        <w:tab w:val="left" w:pos="1440"/>
      </w:tabs>
      <w:overflowPunct w:val="0"/>
      <w:autoSpaceDE w:val="0"/>
      <w:autoSpaceDN w:val="0"/>
      <w:adjustRightInd w:val="0"/>
      <w:ind w:left="720" w:hanging="720"/>
      <w:jc w:val="both"/>
      <w:textAlignment w:val="baseline"/>
    </w:pPr>
    <w:rPr>
      <w:sz w:val="22"/>
      <w:szCs w:val="20"/>
    </w:rPr>
  </w:style>
  <w:style w:type="character" w:styleId="PageNumber">
    <w:name w:val="page number"/>
    <w:uiPriority w:val="99"/>
    <w:rsid w:val="00FB3529"/>
  </w:style>
  <w:style w:type="paragraph" w:styleId="BodyText2">
    <w:name w:val="Body Text 2"/>
    <w:basedOn w:val="Normal"/>
    <w:link w:val="BodyText2Char"/>
    <w:rsid w:val="00FB3529"/>
    <w:pPr>
      <w:widowControl w:val="0"/>
      <w:tabs>
        <w:tab w:val="left" w:pos="720"/>
        <w:tab w:val="left" w:pos="1440"/>
      </w:tabs>
      <w:overflowPunct w:val="0"/>
      <w:autoSpaceDE w:val="0"/>
      <w:autoSpaceDN w:val="0"/>
      <w:adjustRightInd w:val="0"/>
      <w:ind w:left="1440" w:hanging="1440"/>
      <w:jc w:val="both"/>
      <w:textAlignment w:val="baseline"/>
    </w:pPr>
    <w:rPr>
      <w:i/>
      <w:sz w:val="22"/>
      <w:szCs w:val="20"/>
    </w:rPr>
  </w:style>
  <w:style w:type="character" w:customStyle="1" w:styleId="BodyText2Char">
    <w:name w:val="Body Text 2 Char"/>
    <w:link w:val="BodyText2"/>
    <w:rsid w:val="00FB3529"/>
    <w:rPr>
      <w:i/>
      <w:sz w:val="22"/>
    </w:rPr>
  </w:style>
  <w:style w:type="paragraph" w:styleId="BodyText">
    <w:name w:val="Body Text"/>
    <w:basedOn w:val="Normal"/>
    <w:link w:val="BodyTextChar"/>
    <w:rsid w:val="00FB3529"/>
    <w:pPr>
      <w:widowControl w:val="0"/>
      <w:overflowPunct w:val="0"/>
      <w:autoSpaceDE w:val="0"/>
      <w:autoSpaceDN w:val="0"/>
      <w:adjustRightInd w:val="0"/>
      <w:jc w:val="center"/>
      <w:textAlignment w:val="baseline"/>
    </w:pPr>
    <w:rPr>
      <w:b/>
      <w:szCs w:val="20"/>
    </w:rPr>
  </w:style>
  <w:style w:type="character" w:customStyle="1" w:styleId="BodyTextChar">
    <w:name w:val="Body Text Char"/>
    <w:link w:val="BodyText"/>
    <w:rsid w:val="00FB3529"/>
    <w:rPr>
      <w:b/>
      <w:sz w:val="24"/>
    </w:rPr>
  </w:style>
  <w:style w:type="paragraph" w:customStyle="1" w:styleId="Text">
    <w:name w:val="Text"/>
    <w:basedOn w:val="Normal"/>
    <w:link w:val="TextChar"/>
    <w:rsid w:val="00FB3529"/>
    <w:pPr>
      <w:tabs>
        <w:tab w:val="left" w:pos="284"/>
      </w:tabs>
      <w:overflowPunct w:val="0"/>
      <w:autoSpaceDE w:val="0"/>
      <w:autoSpaceDN w:val="0"/>
      <w:adjustRightInd w:val="0"/>
      <w:spacing w:after="260"/>
      <w:jc w:val="both"/>
      <w:textAlignment w:val="baseline"/>
    </w:pPr>
    <w:rPr>
      <w:sz w:val="20"/>
      <w:szCs w:val="20"/>
      <w:lang w:val="x-none" w:eastAsia="en-GB"/>
    </w:rPr>
  </w:style>
  <w:style w:type="character" w:customStyle="1" w:styleId="TextChar">
    <w:name w:val="Text Char"/>
    <w:link w:val="Text"/>
    <w:locked/>
    <w:rsid w:val="00FB3529"/>
    <w:rPr>
      <w:lang w:val="x-none" w:eastAsia="en-GB"/>
    </w:rPr>
  </w:style>
  <w:style w:type="character" w:customStyle="1" w:styleId="BalloonTextChar">
    <w:name w:val="Balloon Text Char"/>
    <w:link w:val="BalloonText"/>
    <w:uiPriority w:val="99"/>
    <w:rsid w:val="00FB3529"/>
    <w:rPr>
      <w:rFonts w:ascii="Tahoma" w:hAnsi="Tahoma" w:cs="Tahoma"/>
      <w:sz w:val="16"/>
      <w:szCs w:val="16"/>
    </w:rPr>
  </w:style>
  <w:style w:type="character" w:styleId="CommentReference">
    <w:name w:val="annotation reference"/>
    <w:uiPriority w:val="99"/>
    <w:unhideWhenUsed/>
    <w:rsid w:val="00FB3529"/>
    <w:rPr>
      <w:sz w:val="16"/>
      <w:szCs w:val="16"/>
    </w:rPr>
  </w:style>
  <w:style w:type="paragraph" w:styleId="CommentText">
    <w:name w:val="annotation text"/>
    <w:basedOn w:val="Normal"/>
    <w:link w:val="CommentTextChar"/>
    <w:uiPriority w:val="99"/>
    <w:unhideWhenUsed/>
    <w:rsid w:val="00FB3529"/>
    <w:pPr>
      <w:widowControl w:val="0"/>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rsid w:val="00FB3529"/>
  </w:style>
  <w:style w:type="character" w:customStyle="1" w:styleId="CommentSubjectChar">
    <w:name w:val="Comment Subject Char"/>
    <w:link w:val="CommentSubject"/>
    <w:uiPriority w:val="99"/>
    <w:rsid w:val="00FB3529"/>
    <w:rPr>
      <w:b/>
      <w:bCs/>
    </w:rPr>
  </w:style>
  <w:style w:type="paragraph" w:styleId="CommentSubject">
    <w:name w:val="annotation subject"/>
    <w:basedOn w:val="CommentText"/>
    <w:next w:val="CommentText"/>
    <w:link w:val="CommentSubjectChar"/>
    <w:uiPriority w:val="99"/>
    <w:unhideWhenUsed/>
    <w:rsid w:val="00FB3529"/>
    <w:rPr>
      <w:b/>
      <w:bCs/>
    </w:rPr>
  </w:style>
  <w:style w:type="character" w:customStyle="1" w:styleId="CommentSubjectChar1">
    <w:name w:val="Comment Subject Char1"/>
    <w:rsid w:val="00FB3529"/>
    <w:rPr>
      <w:b/>
      <w:bCs/>
    </w:rPr>
  </w:style>
  <w:style w:type="paragraph" w:customStyle="1" w:styleId="zapf">
    <w:name w:val="zapf"/>
    <w:basedOn w:val="Normal"/>
    <w:rsid w:val="004314EC"/>
    <w:rPr>
      <w:rFonts w:ascii="Arial" w:hAnsi="Arial" w:cs="Arial"/>
      <w:b/>
      <w:color w:val="FF0000"/>
      <w:lang w:eastAsia="en-GB"/>
    </w:rPr>
  </w:style>
  <w:style w:type="character" w:customStyle="1" w:styleId="apple-converted-space">
    <w:name w:val="apple-converted-space"/>
    <w:rsid w:val="00173F5C"/>
  </w:style>
  <w:style w:type="paragraph" w:styleId="Revision">
    <w:name w:val="Revision"/>
    <w:hidden/>
    <w:uiPriority w:val="99"/>
    <w:semiHidden/>
    <w:rsid w:val="009F6A62"/>
    <w:rPr>
      <w:sz w:val="24"/>
      <w:szCs w:val="24"/>
    </w:rPr>
  </w:style>
  <w:style w:type="paragraph" w:styleId="ListParagraph">
    <w:name w:val="List Paragraph"/>
    <w:basedOn w:val="Normal"/>
    <w:uiPriority w:val="34"/>
    <w:qFormat/>
    <w:rsid w:val="00F66888"/>
    <w:pPr>
      <w:ind w:left="720"/>
      <w:contextualSpacing/>
      <w:jc w:val="both"/>
    </w:pPr>
    <w:rPr>
      <w:rFonts w:ascii="Calibri" w:eastAsia="Calibri" w:hAnsi="Calibri"/>
      <w:sz w:val="22"/>
    </w:rPr>
  </w:style>
  <w:style w:type="paragraph" w:styleId="Title">
    <w:name w:val="Title"/>
    <w:basedOn w:val="Normal"/>
    <w:next w:val="Normal"/>
    <w:link w:val="TitleChar"/>
    <w:uiPriority w:val="10"/>
    <w:qFormat/>
    <w:locked/>
    <w:rsid w:val="00F66888"/>
    <w:pPr>
      <w:contextualSpacing/>
      <w:jc w:val="both"/>
    </w:pPr>
    <w:rPr>
      <w:rFonts w:ascii="Calibri Light" w:eastAsia="Yu Gothic Light" w:hAnsi="Calibri Light"/>
      <w:spacing w:val="-10"/>
      <w:kern w:val="28"/>
      <w:sz w:val="56"/>
      <w:szCs w:val="56"/>
    </w:rPr>
  </w:style>
  <w:style w:type="character" w:customStyle="1" w:styleId="TitleChar">
    <w:name w:val="Title Char"/>
    <w:basedOn w:val="DefaultParagraphFont"/>
    <w:link w:val="Title"/>
    <w:uiPriority w:val="10"/>
    <w:rsid w:val="00F66888"/>
    <w:rPr>
      <w:rFonts w:ascii="Calibri Light" w:eastAsia="Yu Gothic Light" w:hAnsi="Calibri Light"/>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10560619">
      <w:bodyDiv w:val="1"/>
      <w:marLeft w:val="0"/>
      <w:marRight w:val="0"/>
      <w:marTop w:val="0"/>
      <w:marBottom w:val="0"/>
      <w:divBdr>
        <w:top w:val="none" w:sz="0" w:space="0" w:color="auto"/>
        <w:left w:val="none" w:sz="0" w:space="0" w:color="auto"/>
        <w:bottom w:val="none" w:sz="0" w:space="0" w:color="auto"/>
        <w:right w:val="none" w:sz="0" w:space="0" w:color="auto"/>
      </w:divBdr>
    </w:div>
    <w:div w:id="1610772369">
      <w:bodyDiv w:val="1"/>
      <w:marLeft w:val="0"/>
      <w:marRight w:val="0"/>
      <w:marTop w:val="0"/>
      <w:marBottom w:val="0"/>
      <w:divBdr>
        <w:top w:val="none" w:sz="0" w:space="0" w:color="auto"/>
        <w:left w:val="none" w:sz="0" w:space="0" w:color="auto"/>
        <w:bottom w:val="none" w:sz="0" w:space="0" w:color="auto"/>
        <w:right w:val="none" w:sz="0" w:space="0" w:color="auto"/>
      </w:divBdr>
    </w:div>
    <w:div w:id="19458409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legislation.gov.uk/uksi/2015/980/contents/made"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tevecollings.co.uk/" TargetMode="External"/><Relationship Id="rId11" Type="http://schemas.openxmlformats.org/officeDocument/2006/relationships/hyperlink" Target="https://frc.org.uk/Our-Work/Publications/Accounting-and-Reporting-Policy/FRS-100-Application-of-Financial-Reporting-Requir.pdf" TargetMode="External"/><Relationship Id="rId12" Type="http://schemas.openxmlformats.org/officeDocument/2006/relationships/hyperlink" Target="https://frc.org.uk/Our-Work/Publications/Accounting-and-Reporting-Policy/FRS-101-Reduced-Disclosure-Framework-(1).pdf" TargetMode="External"/><Relationship Id="rId13" Type="http://schemas.openxmlformats.org/officeDocument/2006/relationships/hyperlink" Target="https://frc.org.uk/Our-Work/Publications/Accounting-and-Reporting-Policy/FRS-102-The-Financial-Reporting-Standard-applicab.pdf" TargetMode="External"/><Relationship Id="rId14" Type="http://schemas.openxmlformats.org/officeDocument/2006/relationships/hyperlink" Target="https://frc.org.uk/Our-Work/Publications/Accounting-and-Reporting-Policy/FRS-103-Insurance-Contracts.aspx" TargetMode="External"/><Relationship Id="rId15" Type="http://schemas.openxmlformats.org/officeDocument/2006/relationships/hyperlink" Target="https://frc.org.uk/Our-Work/Publications/Accounting-and-Reporting-Policy/Amendments-to-FRS-103-Insurance-Contracts-Solve.aspx" TargetMode="External"/><Relationship Id="rId16" Type="http://schemas.openxmlformats.org/officeDocument/2006/relationships/hyperlink" Target="https://frc.org.uk/Our-Work/Publications/Accounting-and-Reporting-Policy/FRS-104-Interim-Financial-Reporting.aspx" TargetMode="External"/><Relationship Id="rId17" Type="http://schemas.openxmlformats.org/officeDocument/2006/relationships/hyperlink" Target="https://frc.org.uk/Our-Work/Publications/Accounting-and-Reporting-Policy/FRS-105-The-Financial-Reporting-Standard-applicab.pdf" TargetMode="External"/><Relationship Id="rId18" Type="http://schemas.openxmlformats.org/officeDocument/2006/relationships/hyperlink" Target="https://frc.org.uk/Our-Work/Publications/Accounting-and-Reporting-Policy/Amendments-to-FRS-105-The-Financial-Reporting-Sta.pdf" TargetMode="External"/><Relationship Id="rId19" Type="http://schemas.openxmlformats.org/officeDocument/2006/relationships/hyperlink" Target="https://www.frc.org.uk/Our-Work/Corporate-Governance-Reporting/Accounting-and-Reporting-Policy/FRSSE.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5F58-2B05-4B43-AF29-E3C6EECD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36</Pages>
  <Words>9777</Words>
  <Characters>55735</Characters>
  <Application>Microsoft Macintosh Word</Application>
  <DocSecurity>0</DocSecurity>
  <Lines>464</Lines>
  <Paragraphs>130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vt:lpstr>
      <vt:lpstr>    The letters of engagement, specimen schedules of service, standard terms and con</vt:lpstr>
      <vt:lpstr>    ENGAGEMENT LETTERS FOR TAX PRACTITIONERS</vt:lpstr>
      <vt:lpstr>Client money</vt:lpstr>
      <vt:lpstr>Data protection </vt:lpstr>
      <vt:lpstr>Lien</vt:lpstr>
      <vt:lpstr>        Period of engagement and termination</vt:lpstr>
      <vt:lpstr>Your responsibilities</vt:lpstr>
      <vt:lpstr/>
      <vt:lpstr>Your responsibilities </vt:lpstr>
      <vt:lpstr/>
      <vt:lpstr/>
    </vt:vector>
  </TitlesOfParts>
  <Company>ACCA</Company>
  <LinksUpToDate>false</LinksUpToDate>
  <CharactersWithSpaces>65382</CharactersWithSpaces>
  <SharedDoc>false</SharedDoc>
  <HLinks>
    <vt:vector size="66" baseType="variant">
      <vt:variant>
        <vt:i4>65598</vt:i4>
      </vt:variant>
      <vt:variant>
        <vt:i4>27</vt:i4>
      </vt:variant>
      <vt:variant>
        <vt:i4>0</vt:i4>
      </vt:variant>
      <vt:variant>
        <vt:i4>5</vt:i4>
      </vt:variant>
      <vt:variant>
        <vt:lpwstr>http://www.accaglobal.com</vt:lpwstr>
      </vt:variant>
      <vt:variant>
        <vt:lpwstr/>
      </vt:variant>
      <vt:variant>
        <vt:i4>5111831</vt:i4>
      </vt:variant>
      <vt:variant>
        <vt:i4>24</vt:i4>
      </vt:variant>
      <vt:variant>
        <vt:i4>0</vt:i4>
      </vt:variant>
      <vt:variant>
        <vt:i4>5</vt:i4>
      </vt:variant>
      <vt:variant>
        <vt:lpwstr>https://register.fca.org.uk/</vt:lpwstr>
      </vt:variant>
      <vt:variant>
        <vt:lpwstr/>
      </vt:variant>
      <vt:variant>
        <vt:i4>65598</vt:i4>
      </vt:variant>
      <vt:variant>
        <vt:i4>21</vt:i4>
      </vt:variant>
      <vt:variant>
        <vt:i4>0</vt:i4>
      </vt:variant>
      <vt:variant>
        <vt:i4>5</vt:i4>
      </vt:variant>
      <vt:variant>
        <vt:lpwstr>http://www.accaglobal.com</vt:lpwstr>
      </vt:variant>
      <vt:variant>
        <vt:lpwstr/>
      </vt:variant>
      <vt:variant>
        <vt:i4>4325382</vt:i4>
      </vt:variant>
      <vt:variant>
        <vt:i4>18</vt:i4>
      </vt:variant>
      <vt:variant>
        <vt:i4>0</vt:i4>
      </vt:variant>
      <vt:variant>
        <vt:i4>5</vt:i4>
      </vt:variant>
      <vt:variant>
        <vt:lpwstr>http://www.accaglobal.com/uk/en/technical-activities/technical-resources-search/2007/january/factsheet-145-anti-moneylaundering-accountancy.html</vt:lpwstr>
      </vt:variant>
      <vt:variant>
        <vt:lpwstr/>
      </vt:variant>
      <vt:variant>
        <vt:i4>6029358</vt:i4>
      </vt:variant>
      <vt:variant>
        <vt:i4>15</vt:i4>
      </vt:variant>
      <vt:variant>
        <vt:i4>0</vt:i4>
      </vt:variant>
      <vt:variant>
        <vt:i4>5</vt:i4>
      </vt:variant>
      <vt:variant>
        <vt:lpwstr>http://www.legislation.gov.uk/uksi/2013/3134/made</vt:lpwstr>
      </vt:variant>
      <vt:variant>
        <vt:lpwstr/>
      </vt:variant>
      <vt:variant>
        <vt:i4>6684754</vt:i4>
      </vt:variant>
      <vt:variant>
        <vt:i4>12</vt:i4>
      </vt:variant>
      <vt:variant>
        <vt:i4>0</vt:i4>
      </vt:variant>
      <vt:variant>
        <vt:i4>5</vt:i4>
      </vt:variant>
      <vt:variant>
        <vt:lpwstr>http://www.legislation.gov.uk/ukpga/1977/50</vt:lpwstr>
      </vt:variant>
      <vt:variant>
        <vt:lpwstr/>
      </vt:variant>
      <vt:variant>
        <vt:i4>5505033</vt:i4>
      </vt:variant>
      <vt:variant>
        <vt:i4>9</vt:i4>
      </vt:variant>
      <vt:variant>
        <vt:i4>0</vt:i4>
      </vt:variant>
      <vt:variant>
        <vt:i4>5</vt:i4>
      </vt:variant>
      <vt:variant>
        <vt:lpwstr>http://www.legislation.gov.uk/ukpga/2015/15/contents/enacted</vt:lpwstr>
      </vt:variant>
      <vt:variant>
        <vt:lpwstr/>
      </vt:variant>
      <vt:variant>
        <vt:i4>6815790</vt:i4>
      </vt:variant>
      <vt:variant>
        <vt:i4>6</vt:i4>
      </vt:variant>
      <vt:variant>
        <vt:i4>0</vt:i4>
      </vt:variant>
      <vt:variant>
        <vt:i4>5</vt:i4>
      </vt:variant>
      <vt:variant>
        <vt:lpwstr>http://www.legislation.gov.uk/uksi/2008/1816/contents/made</vt:lpwstr>
      </vt:variant>
      <vt:variant>
        <vt:lpwstr/>
      </vt:variant>
      <vt:variant>
        <vt:i4>917547</vt:i4>
      </vt:variant>
      <vt:variant>
        <vt:i4>3</vt:i4>
      </vt:variant>
      <vt:variant>
        <vt:i4>0</vt:i4>
      </vt:variant>
      <vt:variant>
        <vt:i4>5</vt:i4>
      </vt:variant>
      <vt:variant>
        <vt:lpwstr>http://www.accaglobal.com/uk/en/technical-activities/technical-resources-search/2015/may/factsheet-166-professional-conduct-taxation.html</vt:lpwstr>
      </vt:variant>
      <vt:variant>
        <vt:lpwstr/>
      </vt:variant>
      <vt:variant>
        <vt:i4>65598</vt:i4>
      </vt:variant>
      <vt:variant>
        <vt:i4>0</vt:i4>
      </vt:variant>
      <vt:variant>
        <vt:i4>0</vt:i4>
      </vt:variant>
      <vt:variant>
        <vt:i4>5</vt:i4>
      </vt:variant>
      <vt:variant>
        <vt:lpwstr>http://www.accaglobal.com</vt:lpwstr>
      </vt:variant>
      <vt:variant>
        <vt:lpwstr/>
      </vt:variant>
      <vt:variant>
        <vt:i4>3</vt:i4>
      </vt:variant>
      <vt:variant>
        <vt:i4>-1</vt:i4>
      </vt:variant>
      <vt:variant>
        <vt:i4>1028</vt:i4>
      </vt:variant>
      <vt:variant>
        <vt:i4>1</vt:i4>
      </vt:variant>
      <vt:variant>
        <vt:lpwstr>ACCA_Primary Logo_RGB_Pos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Fraser</dc:creator>
  <cp:keywords/>
  <dc:description/>
  <cp:lastModifiedBy>ACCA</cp:lastModifiedBy>
  <cp:revision>382</cp:revision>
  <cp:lastPrinted>2016-01-22T09:49:00Z</cp:lastPrinted>
  <dcterms:created xsi:type="dcterms:W3CDTF">2016-03-31T11:56:00Z</dcterms:created>
  <dcterms:modified xsi:type="dcterms:W3CDTF">2016-09-09T11:11:00Z</dcterms:modified>
</cp:coreProperties>
</file>