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9217" w14:textId="67B45F82" w:rsidR="002C7BAE" w:rsidRPr="00AD3D68" w:rsidRDefault="00782F6D">
      <w:pPr>
        <w:rPr>
          <w:rFonts w:ascii="Arial" w:hAnsi="Arial" w:cs="Arial"/>
          <w:b/>
          <w:bCs/>
        </w:rPr>
      </w:pPr>
      <w:r w:rsidRPr="00AD3D68">
        <w:rPr>
          <w:rFonts w:ascii="Arial" w:hAnsi="Arial" w:cs="Arial"/>
          <w:b/>
          <w:bCs/>
        </w:rPr>
        <w:t xml:space="preserve">ACCA </w:t>
      </w:r>
      <w:r w:rsidR="00ED54C2" w:rsidRPr="00AD3D68">
        <w:rPr>
          <w:rFonts w:ascii="Arial" w:hAnsi="Arial" w:cs="Arial"/>
          <w:b/>
          <w:bCs/>
        </w:rPr>
        <w:t>Anti Money Laundering (</w:t>
      </w:r>
      <w:r w:rsidRPr="00AD3D68">
        <w:rPr>
          <w:rFonts w:ascii="Arial" w:hAnsi="Arial" w:cs="Arial"/>
          <w:b/>
          <w:bCs/>
        </w:rPr>
        <w:t>AML</w:t>
      </w:r>
      <w:r w:rsidR="00ED54C2" w:rsidRPr="00AD3D68">
        <w:rPr>
          <w:rFonts w:ascii="Arial" w:hAnsi="Arial" w:cs="Arial"/>
          <w:b/>
          <w:bCs/>
        </w:rPr>
        <w:t>)</w:t>
      </w:r>
      <w:r w:rsidRPr="00AD3D68">
        <w:rPr>
          <w:rFonts w:ascii="Arial" w:hAnsi="Arial" w:cs="Arial"/>
          <w:b/>
          <w:bCs/>
        </w:rPr>
        <w:t xml:space="preserve"> monitoring review process</w:t>
      </w:r>
      <w:r w:rsidR="001634E9" w:rsidRPr="00AD3D68">
        <w:rPr>
          <w:rFonts w:ascii="Arial" w:hAnsi="Arial" w:cs="Arial"/>
          <w:b/>
          <w:bCs/>
        </w:rPr>
        <w:t xml:space="preserve"> </w:t>
      </w:r>
    </w:p>
    <w:p w14:paraId="7C56474F" w14:textId="78AF0D49" w:rsidR="00A743B5" w:rsidRDefault="00A743B5" w:rsidP="007946B3">
      <w:pPr>
        <w:spacing w:after="0"/>
        <w:rPr>
          <w:rFonts w:ascii="Arial" w:hAnsi="Arial" w:cs="Arial"/>
        </w:rPr>
      </w:pPr>
    </w:p>
    <w:p w14:paraId="6E9DAF44" w14:textId="3FB673E4" w:rsidR="007946B3" w:rsidRDefault="007946B3" w:rsidP="007946B3">
      <w:pPr>
        <w:spacing w:after="0"/>
        <w:rPr>
          <w:rFonts w:ascii="Arial" w:hAnsi="Arial" w:cs="Arial"/>
        </w:rPr>
      </w:pPr>
      <w:r w:rsidRPr="007946B3">
        <w:rPr>
          <w:rFonts w:ascii="Arial" w:hAnsi="Arial" w:cs="Arial"/>
        </w:rPr>
        <w:t>In applying for or renewing any ACCA certificate or licence, practitioners undertake to supply all information necessary to enable ACCA to carry out its statutory and regulatory obligations and to cooperate with its monitoring process. The details may be found in the Chartered Certified Accountants’ Global Practising Regulations 2003 (GPRs). Please note that references in this factsheet to ‘firms’ include sole practitioners, partnerships, limited liability partnerships and limited companies.</w:t>
      </w:r>
    </w:p>
    <w:p w14:paraId="3450DFFC" w14:textId="77777777" w:rsidR="007946B3" w:rsidRPr="00AD3D68" w:rsidRDefault="007946B3" w:rsidP="0033290F">
      <w:pPr>
        <w:spacing w:after="0"/>
        <w:rPr>
          <w:rFonts w:ascii="Arial" w:hAnsi="Arial" w:cs="Arial"/>
        </w:rPr>
      </w:pPr>
    </w:p>
    <w:p w14:paraId="2D3469C0" w14:textId="3938E516" w:rsidR="0033290F" w:rsidRPr="0033290F" w:rsidRDefault="00561263" w:rsidP="0033290F">
      <w:pPr>
        <w:spacing w:after="0"/>
        <w:rPr>
          <w:rFonts w:ascii="Arial" w:hAnsi="Arial" w:cs="Arial"/>
        </w:rPr>
      </w:pPr>
      <w:r>
        <w:rPr>
          <w:rFonts w:ascii="Arial" w:hAnsi="Arial" w:cs="Arial"/>
        </w:rPr>
        <w:t>The purposes of moni</w:t>
      </w:r>
      <w:r w:rsidR="002B70E8">
        <w:rPr>
          <w:rFonts w:ascii="Arial" w:hAnsi="Arial" w:cs="Arial"/>
        </w:rPr>
        <w:t xml:space="preserve">toring reviews are to ensure that ACCA members are </w:t>
      </w:r>
      <w:r w:rsidR="0059203C">
        <w:rPr>
          <w:rFonts w:ascii="Arial" w:hAnsi="Arial" w:cs="Arial"/>
        </w:rPr>
        <w:t xml:space="preserve">complying with laws and regulations. </w:t>
      </w:r>
    </w:p>
    <w:p w14:paraId="5634944D" w14:textId="77777777" w:rsidR="00C74D71" w:rsidRDefault="00C74D71" w:rsidP="001A3EA2">
      <w:pPr>
        <w:spacing w:after="0"/>
        <w:rPr>
          <w:rFonts w:ascii="Arial" w:hAnsi="Arial" w:cs="Arial"/>
        </w:rPr>
      </w:pPr>
    </w:p>
    <w:p w14:paraId="13D1C489" w14:textId="2110C140" w:rsidR="002503F0" w:rsidRDefault="00C74D71" w:rsidP="001A3EA2">
      <w:pPr>
        <w:spacing w:after="0"/>
        <w:rPr>
          <w:rFonts w:ascii="Arial" w:hAnsi="Arial" w:cs="Arial"/>
        </w:rPr>
      </w:pPr>
      <w:r>
        <w:rPr>
          <w:rFonts w:ascii="Arial" w:hAnsi="Arial" w:cs="Arial"/>
        </w:rPr>
        <w:t>T</w:t>
      </w:r>
      <w:r w:rsidR="00B82FFD">
        <w:rPr>
          <w:rFonts w:ascii="Arial" w:hAnsi="Arial" w:cs="Arial"/>
        </w:rPr>
        <w:t xml:space="preserve">he ACCA monitoring </w:t>
      </w:r>
      <w:r w:rsidR="002C368B">
        <w:rPr>
          <w:rFonts w:ascii="Arial" w:hAnsi="Arial" w:cs="Arial"/>
        </w:rPr>
        <w:t xml:space="preserve">review </w:t>
      </w:r>
      <w:r w:rsidR="00B82FFD">
        <w:rPr>
          <w:rFonts w:ascii="Arial" w:hAnsi="Arial" w:cs="Arial"/>
        </w:rPr>
        <w:t xml:space="preserve">arrangements </w:t>
      </w:r>
      <w:r w:rsidR="002C368B">
        <w:rPr>
          <w:rFonts w:ascii="Arial" w:hAnsi="Arial" w:cs="Arial"/>
        </w:rPr>
        <w:t xml:space="preserve">are </w:t>
      </w:r>
      <w:r w:rsidR="00A34D81">
        <w:rPr>
          <w:rFonts w:ascii="Arial" w:hAnsi="Arial" w:cs="Arial"/>
        </w:rPr>
        <w:t xml:space="preserve">designed to </w:t>
      </w:r>
      <w:r w:rsidR="002C368B">
        <w:rPr>
          <w:rFonts w:ascii="Arial" w:hAnsi="Arial" w:cs="Arial"/>
        </w:rPr>
        <w:t xml:space="preserve">protect the public interest </w:t>
      </w:r>
      <w:r w:rsidR="00436BF7">
        <w:rPr>
          <w:rFonts w:ascii="Arial" w:hAnsi="Arial" w:cs="Arial"/>
        </w:rPr>
        <w:t>by ensuring</w:t>
      </w:r>
      <w:r w:rsidR="00706770">
        <w:rPr>
          <w:rFonts w:ascii="Arial" w:hAnsi="Arial" w:cs="Arial"/>
        </w:rPr>
        <w:t xml:space="preserve"> </w:t>
      </w:r>
      <w:r w:rsidR="003C5F19">
        <w:rPr>
          <w:rFonts w:ascii="Arial" w:hAnsi="Arial" w:cs="Arial"/>
        </w:rPr>
        <w:t xml:space="preserve">ACCA </w:t>
      </w:r>
      <w:r w:rsidR="00042C23">
        <w:rPr>
          <w:rFonts w:ascii="Arial" w:hAnsi="Arial" w:cs="Arial"/>
        </w:rPr>
        <w:t xml:space="preserve">supervised </w:t>
      </w:r>
      <w:r w:rsidR="009A1F18">
        <w:rPr>
          <w:rFonts w:ascii="Arial" w:hAnsi="Arial" w:cs="Arial"/>
        </w:rPr>
        <w:t>firm</w:t>
      </w:r>
      <w:r w:rsidR="00706770">
        <w:rPr>
          <w:rFonts w:ascii="Arial" w:hAnsi="Arial" w:cs="Arial"/>
        </w:rPr>
        <w:t>s</w:t>
      </w:r>
      <w:r w:rsidR="00D953F7">
        <w:rPr>
          <w:rFonts w:ascii="Arial" w:hAnsi="Arial" w:cs="Arial"/>
        </w:rPr>
        <w:t xml:space="preserve"> </w:t>
      </w:r>
      <w:r w:rsidR="00194FC4">
        <w:rPr>
          <w:rFonts w:ascii="Arial" w:hAnsi="Arial" w:cs="Arial"/>
        </w:rPr>
        <w:t xml:space="preserve">are </w:t>
      </w:r>
      <w:r w:rsidR="00D953F7">
        <w:rPr>
          <w:rFonts w:ascii="Arial" w:hAnsi="Arial" w:cs="Arial"/>
        </w:rPr>
        <w:t xml:space="preserve">putting the right systems </w:t>
      </w:r>
      <w:r w:rsidR="00436BF7">
        <w:rPr>
          <w:rFonts w:ascii="Arial" w:hAnsi="Arial" w:cs="Arial"/>
        </w:rPr>
        <w:t xml:space="preserve">and controls </w:t>
      </w:r>
      <w:r w:rsidR="00D953F7">
        <w:rPr>
          <w:rFonts w:ascii="Arial" w:hAnsi="Arial" w:cs="Arial"/>
        </w:rPr>
        <w:t>in place</w:t>
      </w:r>
      <w:r w:rsidR="00194FC4">
        <w:rPr>
          <w:rFonts w:ascii="Arial" w:hAnsi="Arial" w:cs="Arial"/>
        </w:rPr>
        <w:t xml:space="preserve"> to comply with money laundering regulations</w:t>
      </w:r>
      <w:r w:rsidR="00A34D81">
        <w:rPr>
          <w:rFonts w:ascii="Arial" w:hAnsi="Arial" w:cs="Arial"/>
        </w:rPr>
        <w:t>.</w:t>
      </w:r>
      <w:r w:rsidR="0041481A">
        <w:rPr>
          <w:rFonts w:ascii="Arial" w:hAnsi="Arial" w:cs="Arial"/>
        </w:rPr>
        <w:t xml:space="preserve">  </w:t>
      </w:r>
    </w:p>
    <w:p w14:paraId="1C671CB0" w14:textId="77777777" w:rsidR="002503F0" w:rsidRDefault="002503F0" w:rsidP="001A3EA2">
      <w:pPr>
        <w:spacing w:after="0"/>
        <w:rPr>
          <w:rFonts w:ascii="Arial" w:hAnsi="Arial" w:cs="Arial"/>
        </w:rPr>
      </w:pPr>
    </w:p>
    <w:p w14:paraId="71CBC5C7" w14:textId="1AD266C1" w:rsidR="001A3EA2" w:rsidRPr="005A173F" w:rsidRDefault="001A3EA2" w:rsidP="001A3EA2">
      <w:pPr>
        <w:spacing w:after="0"/>
        <w:rPr>
          <w:rFonts w:ascii="Arial" w:hAnsi="Arial" w:cs="Arial"/>
        </w:rPr>
      </w:pPr>
      <w:r w:rsidRPr="00AD3D68">
        <w:rPr>
          <w:rFonts w:ascii="Arial" w:hAnsi="Arial" w:cs="Arial"/>
        </w:rPr>
        <w:t xml:space="preserve">The aim of this factsheet is to help </w:t>
      </w:r>
      <w:r w:rsidR="0082319D">
        <w:rPr>
          <w:rFonts w:ascii="Arial" w:hAnsi="Arial" w:cs="Arial"/>
        </w:rPr>
        <w:t xml:space="preserve">ACCA </w:t>
      </w:r>
      <w:r w:rsidR="00042C23">
        <w:rPr>
          <w:rFonts w:ascii="Arial" w:hAnsi="Arial" w:cs="Arial"/>
        </w:rPr>
        <w:t xml:space="preserve">supervised </w:t>
      </w:r>
      <w:r w:rsidR="0082319D">
        <w:rPr>
          <w:rFonts w:ascii="Arial" w:hAnsi="Arial" w:cs="Arial"/>
        </w:rPr>
        <w:t>firms to</w:t>
      </w:r>
      <w:r w:rsidR="0082319D" w:rsidRPr="00AD3D68">
        <w:rPr>
          <w:rFonts w:ascii="Arial" w:hAnsi="Arial" w:cs="Arial"/>
        </w:rPr>
        <w:t xml:space="preserve"> </w:t>
      </w:r>
      <w:r w:rsidRPr="00AD3D68">
        <w:rPr>
          <w:rFonts w:ascii="Arial" w:hAnsi="Arial" w:cs="Arial"/>
        </w:rPr>
        <w:t>understand the ACCA AML monitoring review process.</w:t>
      </w:r>
      <w:r w:rsidR="008373E3">
        <w:rPr>
          <w:rFonts w:ascii="Arial" w:hAnsi="Arial" w:cs="Arial"/>
        </w:rPr>
        <w:t xml:space="preserve">  ACCA </w:t>
      </w:r>
      <w:r w:rsidR="00042C23">
        <w:rPr>
          <w:rFonts w:ascii="Arial" w:hAnsi="Arial" w:cs="Arial"/>
        </w:rPr>
        <w:t xml:space="preserve">supervised </w:t>
      </w:r>
      <w:r w:rsidR="008373E3" w:rsidRPr="0033290F">
        <w:rPr>
          <w:rFonts w:ascii="Arial" w:hAnsi="Arial" w:cs="Arial"/>
        </w:rPr>
        <w:t>firms play a critical role in detecting and preventing money laundering and terrorist financing</w:t>
      </w:r>
      <w:r w:rsidR="008373E3">
        <w:rPr>
          <w:rFonts w:ascii="Arial" w:hAnsi="Arial" w:cs="Arial"/>
        </w:rPr>
        <w:t xml:space="preserve"> (MLTF).</w:t>
      </w:r>
    </w:p>
    <w:p w14:paraId="1A59E4AD" w14:textId="77777777" w:rsidR="001A3EA2" w:rsidRDefault="001A3EA2" w:rsidP="002672C0">
      <w:pPr>
        <w:spacing w:after="0"/>
        <w:rPr>
          <w:rFonts w:ascii="Arial" w:hAnsi="Arial" w:cs="Arial"/>
        </w:rPr>
      </w:pPr>
    </w:p>
    <w:p w14:paraId="606C0716" w14:textId="14BCBDED" w:rsidR="00315546" w:rsidRPr="00AD3D68" w:rsidRDefault="00315546" w:rsidP="002672C0">
      <w:pPr>
        <w:spacing w:after="0"/>
        <w:rPr>
          <w:rFonts w:ascii="Arial" w:hAnsi="Arial" w:cs="Arial"/>
        </w:rPr>
      </w:pPr>
      <w:r w:rsidRPr="00AD3D68">
        <w:rPr>
          <w:rFonts w:ascii="Arial" w:hAnsi="Arial" w:cs="Arial"/>
        </w:rPr>
        <w:t xml:space="preserve">This factsheet </w:t>
      </w:r>
      <w:r w:rsidR="00C46E6B" w:rsidRPr="00AD3D68">
        <w:rPr>
          <w:rFonts w:ascii="Arial" w:hAnsi="Arial" w:cs="Arial"/>
        </w:rPr>
        <w:t xml:space="preserve">is applicable to ACCA </w:t>
      </w:r>
      <w:r w:rsidR="00476590">
        <w:rPr>
          <w:rFonts w:ascii="Arial" w:hAnsi="Arial" w:cs="Arial"/>
        </w:rPr>
        <w:t>supervised</w:t>
      </w:r>
      <w:r w:rsidR="00476590" w:rsidRPr="00AD3D68">
        <w:rPr>
          <w:rFonts w:ascii="Arial" w:hAnsi="Arial" w:cs="Arial"/>
        </w:rPr>
        <w:t xml:space="preserve"> </w:t>
      </w:r>
      <w:r w:rsidR="00C46E6B" w:rsidRPr="00AD3D68">
        <w:rPr>
          <w:rFonts w:ascii="Arial" w:hAnsi="Arial" w:cs="Arial"/>
        </w:rPr>
        <w:t>firms in the UK and Republic of Ireland</w:t>
      </w:r>
      <w:r w:rsidRPr="00AD3D68">
        <w:rPr>
          <w:rFonts w:ascii="Arial" w:hAnsi="Arial" w:cs="Arial"/>
        </w:rPr>
        <w:t xml:space="preserve">. It is issued for guidance purposes only, and in the event of any conflict between the content of this factsheet and the content of the ACCA Rulebook, the latter shall at all times take precedence. Therefore, this factsheet should not be regarded by a member as a substitute for familiarising himself or herself with the appropriate regulations </w:t>
      </w:r>
      <w:r w:rsidR="003012B4" w:rsidRPr="00AD3D68">
        <w:rPr>
          <w:rFonts w:ascii="Arial" w:hAnsi="Arial" w:cs="Arial"/>
        </w:rPr>
        <w:t xml:space="preserve">and guidance </w:t>
      </w:r>
      <w:r w:rsidRPr="00AD3D68">
        <w:rPr>
          <w:rFonts w:ascii="Arial" w:hAnsi="Arial" w:cs="Arial"/>
        </w:rPr>
        <w:t>or, where necessary, obtaining specific advice concerning a specific situation</w:t>
      </w:r>
      <w:r w:rsidR="00974051" w:rsidRPr="00AD3D68">
        <w:rPr>
          <w:rFonts w:ascii="Arial" w:hAnsi="Arial" w:cs="Arial"/>
        </w:rPr>
        <w:t>.</w:t>
      </w:r>
    </w:p>
    <w:p w14:paraId="3738C49E" w14:textId="755D4886" w:rsidR="008872C6" w:rsidRPr="00AD3D68" w:rsidRDefault="008872C6" w:rsidP="002672C0">
      <w:pPr>
        <w:spacing w:after="0"/>
        <w:rPr>
          <w:rFonts w:ascii="Arial" w:hAnsi="Arial" w:cs="Arial"/>
        </w:rPr>
      </w:pPr>
    </w:p>
    <w:p w14:paraId="29BB3B8B" w14:textId="715C13EB" w:rsidR="00117CB2" w:rsidRPr="00AD3D68" w:rsidRDefault="004A7DE3" w:rsidP="002672C0">
      <w:pPr>
        <w:spacing w:after="0"/>
        <w:rPr>
          <w:rFonts w:ascii="Arial" w:hAnsi="Arial" w:cs="Arial"/>
          <w:b/>
          <w:bCs/>
        </w:rPr>
      </w:pPr>
      <w:r>
        <w:rPr>
          <w:rFonts w:ascii="Arial" w:hAnsi="Arial" w:cs="Arial"/>
          <w:b/>
          <w:bCs/>
        </w:rPr>
        <w:t xml:space="preserve">Introduction - </w:t>
      </w:r>
      <w:r w:rsidR="00A743B5" w:rsidRPr="00AD3D68">
        <w:rPr>
          <w:rFonts w:ascii="Arial" w:hAnsi="Arial" w:cs="Arial"/>
          <w:b/>
          <w:bCs/>
        </w:rPr>
        <w:t>S</w:t>
      </w:r>
      <w:r w:rsidR="000A6706" w:rsidRPr="00AD3D68">
        <w:rPr>
          <w:rFonts w:ascii="Arial" w:hAnsi="Arial" w:cs="Arial"/>
          <w:b/>
          <w:bCs/>
        </w:rPr>
        <w:t>tatutory recognition</w:t>
      </w:r>
    </w:p>
    <w:p w14:paraId="001BB6C5" w14:textId="77777777" w:rsidR="009972BA" w:rsidRPr="00AD3D68" w:rsidRDefault="009972BA" w:rsidP="002672C0">
      <w:pPr>
        <w:spacing w:after="0"/>
        <w:rPr>
          <w:rFonts w:ascii="Arial" w:hAnsi="Arial" w:cs="Arial"/>
        </w:rPr>
      </w:pPr>
    </w:p>
    <w:p w14:paraId="14B5BEC2" w14:textId="5D8BAD35" w:rsidR="009972BA" w:rsidRPr="00AD3D68" w:rsidRDefault="009972BA" w:rsidP="002672C0">
      <w:pPr>
        <w:spacing w:after="0"/>
        <w:rPr>
          <w:rFonts w:ascii="Arial" w:hAnsi="Arial" w:cs="Arial"/>
          <w:i/>
          <w:iCs/>
        </w:rPr>
      </w:pPr>
      <w:r w:rsidRPr="00AD3D68">
        <w:rPr>
          <w:rFonts w:ascii="Arial" w:hAnsi="Arial" w:cs="Arial"/>
          <w:i/>
          <w:iCs/>
        </w:rPr>
        <w:t>UK</w:t>
      </w:r>
    </w:p>
    <w:p w14:paraId="266BD71C" w14:textId="48C07F99" w:rsidR="002A7126" w:rsidRPr="00AD3D68" w:rsidRDefault="00312579" w:rsidP="002672C0">
      <w:pPr>
        <w:spacing w:after="0"/>
        <w:rPr>
          <w:rFonts w:ascii="Arial" w:hAnsi="Arial" w:cs="Arial"/>
        </w:rPr>
      </w:pPr>
      <w:r w:rsidRPr="00AD3D68">
        <w:rPr>
          <w:rFonts w:ascii="Arial" w:hAnsi="Arial" w:cs="Arial"/>
        </w:rPr>
        <w:t xml:space="preserve">The Money Laundering, Terrorist Financing and Transfer of Funds (Information on the Payer) Regulations 2017 (MLRs 2017) require </w:t>
      </w:r>
      <w:r w:rsidR="00865615" w:rsidRPr="00AD3D68">
        <w:rPr>
          <w:rFonts w:ascii="Arial" w:hAnsi="Arial" w:cs="Arial"/>
        </w:rPr>
        <w:t xml:space="preserve">ACCA </w:t>
      </w:r>
      <w:r w:rsidR="00AF2AF5">
        <w:rPr>
          <w:rFonts w:ascii="Arial" w:hAnsi="Arial" w:cs="Arial"/>
        </w:rPr>
        <w:t>supervised</w:t>
      </w:r>
      <w:r w:rsidR="00865615" w:rsidRPr="00AD3D68">
        <w:rPr>
          <w:rFonts w:ascii="Arial" w:hAnsi="Arial" w:cs="Arial"/>
        </w:rPr>
        <w:t xml:space="preserve"> </w:t>
      </w:r>
      <w:r w:rsidRPr="00AD3D68">
        <w:rPr>
          <w:rFonts w:ascii="Arial" w:hAnsi="Arial" w:cs="Arial"/>
        </w:rPr>
        <w:t>firms to take appropriate steps to identify and assess the risk that they could be used for money laundering, including terrorist financing.</w:t>
      </w:r>
      <w:r w:rsidR="00445420" w:rsidRPr="00AD3D68">
        <w:rPr>
          <w:rFonts w:ascii="Arial" w:hAnsi="Arial" w:cs="Arial"/>
        </w:rPr>
        <w:t xml:space="preserve"> There are other regulations </w:t>
      </w:r>
      <w:r w:rsidR="00711CAF" w:rsidRPr="00AD3D68">
        <w:rPr>
          <w:rFonts w:ascii="Arial" w:hAnsi="Arial" w:cs="Arial"/>
        </w:rPr>
        <w:t xml:space="preserve">covering money laundering such as </w:t>
      </w:r>
      <w:r w:rsidR="00DE5E9F" w:rsidRPr="00AD3D68">
        <w:rPr>
          <w:rFonts w:ascii="Arial" w:hAnsi="Arial" w:cs="Arial"/>
        </w:rPr>
        <w:t>t</w:t>
      </w:r>
      <w:r w:rsidR="00711CAF" w:rsidRPr="00AD3D68">
        <w:rPr>
          <w:rFonts w:ascii="Arial" w:hAnsi="Arial" w:cs="Arial"/>
        </w:rPr>
        <w:t xml:space="preserve">he Proceeds of Crime Act 2002, </w:t>
      </w:r>
      <w:r w:rsidR="00DE5E9F" w:rsidRPr="00AD3D68">
        <w:rPr>
          <w:rFonts w:ascii="Arial" w:hAnsi="Arial" w:cs="Arial"/>
        </w:rPr>
        <w:t>the</w:t>
      </w:r>
      <w:r w:rsidR="00711CAF" w:rsidRPr="00AD3D68">
        <w:rPr>
          <w:rFonts w:ascii="Arial" w:hAnsi="Arial" w:cs="Arial"/>
        </w:rPr>
        <w:t xml:space="preserve"> Terrorism Act 2000</w:t>
      </w:r>
      <w:r w:rsidR="007D7D47" w:rsidRPr="00AD3D68">
        <w:rPr>
          <w:rFonts w:ascii="Arial" w:hAnsi="Arial" w:cs="Arial"/>
        </w:rPr>
        <w:t xml:space="preserve"> and</w:t>
      </w:r>
      <w:r w:rsidR="00711CAF" w:rsidRPr="00AD3D68">
        <w:rPr>
          <w:rFonts w:ascii="Arial" w:hAnsi="Arial" w:cs="Arial"/>
        </w:rPr>
        <w:t xml:space="preserve"> </w:t>
      </w:r>
      <w:r w:rsidR="00DE5E9F" w:rsidRPr="00AD3D68">
        <w:rPr>
          <w:rFonts w:ascii="Arial" w:hAnsi="Arial" w:cs="Arial"/>
        </w:rPr>
        <w:t>t</w:t>
      </w:r>
      <w:r w:rsidR="00711CAF" w:rsidRPr="00AD3D68">
        <w:rPr>
          <w:rFonts w:ascii="Arial" w:hAnsi="Arial" w:cs="Arial"/>
        </w:rPr>
        <w:t xml:space="preserve">he Counter Terrorism Act 2008 </w:t>
      </w:r>
      <w:r w:rsidR="007D7D47" w:rsidRPr="00AD3D68">
        <w:rPr>
          <w:rFonts w:ascii="Arial" w:hAnsi="Arial" w:cs="Arial"/>
        </w:rPr>
        <w:t xml:space="preserve">which members are expected to familiarise </w:t>
      </w:r>
      <w:r w:rsidR="00420E8F" w:rsidRPr="00AD3D68">
        <w:rPr>
          <w:rFonts w:ascii="Arial" w:hAnsi="Arial" w:cs="Arial"/>
        </w:rPr>
        <w:t xml:space="preserve">themselves </w:t>
      </w:r>
      <w:r w:rsidR="007D7D47" w:rsidRPr="00AD3D68">
        <w:rPr>
          <w:rFonts w:ascii="Arial" w:hAnsi="Arial" w:cs="Arial"/>
        </w:rPr>
        <w:t>with.</w:t>
      </w:r>
      <w:r w:rsidR="00711CAF" w:rsidRPr="00AD3D68">
        <w:rPr>
          <w:rFonts w:ascii="Arial" w:hAnsi="Arial" w:cs="Arial"/>
        </w:rPr>
        <w:t xml:space="preserve"> </w:t>
      </w:r>
    </w:p>
    <w:p w14:paraId="1C20EB45" w14:textId="77777777" w:rsidR="004F2051" w:rsidRPr="00AD3D68" w:rsidRDefault="004F2051" w:rsidP="00060D43">
      <w:pPr>
        <w:tabs>
          <w:tab w:val="left" w:pos="6440"/>
        </w:tabs>
        <w:spacing w:after="0"/>
        <w:rPr>
          <w:rFonts w:ascii="Arial" w:hAnsi="Arial" w:cs="Arial"/>
        </w:rPr>
      </w:pPr>
    </w:p>
    <w:p w14:paraId="488DD76B" w14:textId="52694DAA" w:rsidR="00597780" w:rsidRPr="00AD3D68" w:rsidRDefault="008F119E" w:rsidP="00060D43">
      <w:pPr>
        <w:tabs>
          <w:tab w:val="left" w:pos="6440"/>
        </w:tabs>
        <w:spacing w:after="0"/>
        <w:rPr>
          <w:rFonts w:ascii="Arial" w:hAnsi="Arial" w:cs="Arial"/>
        </w:rPr>
      </w:pPr>
      <w:r w:rsidRPr="00AD3D68">
        <w:rPr>
          <w:rFonts w:ascii="Arial" w:hAnsi="Arial" w:cs="Arial"/>
        </w:rPr>
        <w:t xml:space="preserve">Under </w:t>
      </w:r>
      <w:r w:rsidR="009A0E99" w:rsidRPr="00AD3D68">
        <w:rPr>
          <w:rFonts w:ascii="Arial" w:hAnsi="Arial" w:cs="Arial"/>
        </w:rPr>
        <w:t xml:space="preserve">Regulation </w:t>
      </w:r>
      <w:r w:rsidR="00AF2AF5">
        <w:rPr>
          <w:rFonts w:ascii="Arial" w:hAnsi="Arial" w:cs="Arial"/>
        </w:rPr>
        <w:t xml:space="preserve">7(b) and detailed in Schedule 1 </w:t>
      </w:r>
      <w:r w:rsidR="009A0E99" w:rsidRPr="00AD3D68">
        <w:rPr>
          <w:rFonts w:ascii="Arial" w:hAnsi="Arial" w:cs="Arial"/>
        </w:rPr>
        <w:t xml:space="preserve">of the </w:t>
      </w:r>
      <w:r w:rsidR="00FE468A" w:rsidRPr="00AD3D68">
        <w:rPr>
          <w:rFonts w:ascii="Arial" w:hAnsi="Arial" w:cs="Arial"/>
        </w:rPr>
        <w:t>M</w:t>
      </w:r>
      <w:r w:rsidR="009E39A6" w:rsidRPr="00AD3D68">
        <w:rPr>
          <w:rFonts w:ascii="Arial" w:hAnsi="Arial" w:cs="Arial"/>
        </w:rPr>
        <w:t>LRs</w:t>
      </w:r>
      <w:r w:rsidR="00FE468A" w:rsidRPr="00AD3D68">
        <w:rPr>
          <w:rFonts w:ascii="Arial" w:hAnsi="Arial" w:cs="Arial"/>
        </w:rPr>
        <w:t xml:space="preserve"> 2017</w:t>
      </w:r>
      <w:r w:rsidRPr="00AD3D68">
        <w:rPr>
          <w:rFonts w:ascii="Arial" w:hAnsi="Arial" w:cs="Arial"/>
        </w:rPr>
        <w:t xml:space="preserve"> ACCA is a professional body supervisor</w:t>
      </w:r>
      <w:r w:rsidR="001B5DF4" w:rsidRPr="00AD3D68">
        <w:rPr>
          <w:rFonts w:ascii="Arial" w:hAnsi="Arial" w:cs="Arial"/>
        </w:rPr>
        <w:t xml:space="preserve"> and is required under </w:t>
      </w:r>
      <w:r w:rsidR="0015405B" w:rsidRPr="00AD3D68">
        <w:rPr>
          <w:rFonts w:ascii="Arial" w:hAnsi="Arial" w:cs="Arial"/>
        </w:rPr>
        <w:t xml:space="preserve">Regulation 46 of the MLRs 2017 </w:t>
      </w:r>
      <w:r w:rsidR="001B5DF4" w:rsidRPr="00AD3D68">
        <w:rPr>
          <w:rFonts w:ascii="Arial" w:hAnsi="Arial" w:cs="Arial"/>
        </w:rPr>
        <w:t xml:space="preserve">to </w:t>
      </w:r>
      <w:r w:rsidR="0015405B" w:rsidRPr="00AD3D68">
        <w:rPr>
          <w:rFonts w:ascii="Arial" w:hAnsi="Arial" w:cs="Arial"/>
        </w:rPr>
        <w:t xml:space="preserve">effectively monitor its </w:t>
      </w:r>
      <w:r w:rsidR="00822EDC">
        <w:rPr>
          <w:rFonts w:ascii="Arial" w:hAnsi="Arial" w:cs="Arial"/>
        </w:rPr>
        <w:t>supervised</w:t>
      </w:r>
      <w:r w:rsidR="00B34496" w:rsidRPr="00AD3D68">
        <w:rPr>
          <w:rFonts w:ascii="Arial" w:hAnsi="Arial" w:cs="Arial"/>
        </w:rPr>
        <w:t xml:space="preserve"> </w:t>
      </w:r>
      <w:r w:rsidR="00045038" w:rsidRPr="00AD3D68">
        <w:rPr>
          <w:rFonts w:ascii="Arial" w:hAnsi="Arial" w:cs="Arial"/>
        </w:rPr>
        <w:t>firm’s compliance with the</w:t>
      </w:r>
      <w:r w:rsidR="00A3339E" w:rsidRPr="00AD3D68">
        <w:rPr>
          <w:rFonts w:ascii="Arial" w:hAnsi="Arial" w:cs="Arial"/>
        </w:rPr>
        <w:t xml:space="preserve"> money laundering regulations</w:t>
      </w:r>
      <w:r w:rsidR="009A0E99" w:rsidRPr="00AD3D68">
        <w:rPr>
          <w:rFonts w:ascii="Arial" w:hAnsi="Arial" w:cs="Arial"/>
        </w:rPr>
        <w:t>.</w:t>
      </w:r>
      <w:r w:rsidR="00C6200A" w:rsidRPr="00AD3D68">
        <w:rPr>
          <w:rFonts w:ascii="Arial" w:hAnsi="Arial" w:cs="Arial"/>
        </w:rPr>
        <w:t xml:space="preserve"> </w:t>
      </w:r>
    </w:p>
    <w:p w14:paraId="56A13CE8" w14:textId="77777777" w:rsidR="00597780" w:rsidRPr="00AD3D68" w:rsidRDefault="00597780" w:rsidP="002672C0">
      <w:pPr>
        <w:spacing w:after="0"/>
        <w:rPr>
          <w:rFonts w:ascii="Arial" w:hAnsi="Arial" w:cs="Arial"/>
        </w:rPr>
      </w:pPr>
    </w:p>
    <w:p w14:paraId="20B8594C" w14:textId="2CD54508" w:rsidR="004438D9" w:rsidRPr="00AD3D68" w:rsidRDefault="00C6200A" w:rsidP="002672C0">
      <w:pPr>
        <w:spacing w:after="0"/>
        <w:rPr>
          <w:rFonts w:ascii="Arial" w:hAnsi="Arial" w:cs="Arial"/>
        </w:rPr>
      </w:pPr>
      <w:r w:rsidRPr="00AD3D68">
        <w:rPr>
          <w:rFonts w:ascii="Arial" w:hAnsi="Arial" w:cs="Arial"/>
        </w:rPr>
        <w:t>ACCA</w:t>
      </w:r>
      <w:r w:rsidR="00FF5E52" w:rsidRPr="00AD3D68">
        <w:rPr>
          <w:rFonts w:ascii="Arial" w:hAnsi="Arial" w:cs="Arial"/>
        </w:rPr>
        <w:t xml:space="preserve">’s AML supervision </w:t>
      </w:r>
      <w:r w:rsidR="0095249B" w:rsidRPr="00AD3D68">
        <w:rPr>
          <w:rFonts w:ascii="Arial" w:hAnsi="Arial" w:cs="Arial"/>
        </w:rPr>
        <w:t xml:space="preserve">activities are overseen </w:t>
      </w:r>
      <w:r w:rsidRPr="00AD3D68">
        <w:rPr>
          <w:rFonts w:ascii="Arial" w:hAnsi="Arial" w:cs="Arial"/>
        </w:rPr>
        <w:t xml:space="preserve">by </w:t>
      </w:r>
      <w:r w:rsidR="00641178" w:rsidRPr="00AD3D68">
        <w:rPr>
          <w:rFonts w:ascii="Arial" w:hAnsi="Arial" w:cs="Arial"/>
        </w:rPr>
        <w:t>t</w:t>
      </w:r>
      <w:r w:rsidR="004438D9" w:rsidRPr="00AD3D68">
        <w:rPr>
          <w:rFonts w:ascii="Arial" w:hAnsi="Arial" w:cs="Arial"/>
        </w:rPr>
        <w:t xml:space="preserve">he </w:t>
      </w:r>
      <w:hyperlink r:id="rId10" w:history="1">
        <w:r w:rsidR="004438D9" w:rsidRPr="00AD3D68">
          <w:rPr>
            <w:rStyle w:val="Hyperlink"/>
            <w:rFonts w:ascii="Arial" w:hAnsi="Arial" w:cs="Arial"/>
          </w:rPr>
          <w:t>Office for Professional Body Anti-Money Laundering Supervision (OPBAS)</w:t>
        </w:r>
      </w:hyperlink>
      <w:r w:rsidR="004438D9" w:rsidRPr="00AD3D68">
        <w:rPr>
          <w:rFonts w:ascii="Arial" w:hAnsi="Arial" w:cs="Arial"/>
        </w:rPr>
        <w:t xml:space="preserve">. </w:t>
      </w:r>
      <w:r w:rsidR="00991145" w:rsidRPr="00AD3D68">
        <w:rPr>
          <w:rFonts w:ascii="Arial" w:hAnsi="Arial" w:cs="Arial"/>
        </w:rPr>
        <w:t xml:space="preserve">OPBAS is a regulator set up by the </w:t>
      </w:r>
      <w:r w:rsidR="000413CC" w:rsidRPr="00AD3D68">
        <w:rPr>
          <w:rFonts w:ascii="Arial" w:hAnsi="Arial" w:cs="Arial"/>
        </w:rPr>
        <w:t xml:space="preserve">UK </w:t>
      </w:r>
      <w:r w:rsidR="00991145" w:rsidRPr="00AD3D68">
        <w:rPr>
          <w:rFonts w:ascii="Arial" w:hAnsi="Arial" w:cs="Arial"/>
        </w:rPr>
        <w:t xml:space="preserve">government to strengthen the UK’s AML supervisory regime and ensure </w:t>
      </w:r>
      <w:r w:rsidR="00822EDC">
        <w:rPr>
          <w:rFonts w:ascii="Arial" w:hAnsi="Arial" w:cs="Arial"/>
        </w:rPr>
        <w:t>all</w:t>
      </w:r>
      <w:r w:rsidR="00822EDC" w:rsidRPr="00AD3D68">
        <w:rPr>
          <w:rFonts w:ascii="Arial" w:hAnsi="Arial" w:cs="Arial"/>
        </w:rPr>
        <w:t xml:space="preserve"> </w:t>
      </w:r>
      <w:r w:rsidR="00991145" w:rsidRPr="00AD3D68">
        <w:rPr>
          <w:rFonts w:ascii="Arial" w:hAnsi="Arial" w:cs="Arial"/>
        </w:rPr>
        <w:t>AML</w:t>
      </w:r>
      <w:r w:rsidR="00822EDC">
        <w:rPr>
          <w:rFonts w:ascii="Arial" w:hAnsi="Arial" w:cs="Arial"/>
        </w:rPr>
        <w:t xml:space="preserve"> professional body</w:t>
      </w:r>
      <w:r w:rsidR="00991145" w:rsidRPr="00AD3D68">
        <w:rPr>
          <w:rFonts w:ascii="Arial" w:hAnsi="Arial" w:cs="Arial"/>
        </w:rPr>
        <w:t xml:space="preserve"> supervisors provide consistently high standards of AML supervision</w:t>
      </w:r>
      <w:r w:rsidR="001A2D1D" w:rsidRPr="00AD3D68">
        <w:rPr>
          <w:rFonts w:ascii="Arial" w:hAnsi="Arial" w:cs="Arial"/>
        </w:rPr>
        <w:t xml:space="preserve"> </w:t>
      </w:r>
      <w:r w:rsidR="00EC5D82" w:rsidRPr="00AD3D68">
        <w:rPr>
          <w:rFonts w:ascii="Arial" w:hAnsi="Arial" w:cs="Arial"/>
        </w:rPr>
        <w:t xml:space="preserve">as set out in the OPBAS </w:t>
      </w:r>
      <w:hyperlink r:id="rId11" w:history="1">
        <w:r w:rsidR="00EC5D82" w:rsidRPr="00AD3D68">
          <w:rPr>
            <w:rStyle w:val="Hyperlink"/>
            <w:rFonts w:ascii="Arial" w:hAnsi="Arial" w:cs="Arial"/>
          </w:rPr>
          <w:t>sourcebook</w:t>
        </w:r>
      </w:hyperlink>
      <w:r w:rsidR="00991145" w:rsidRPr="00AD3D68">
        <w:rPr>
          <w:rFonts w:ascii="Arial" w:hAnsi="Arial" w:cs="Arial"/>
        </w:rPr>
        <w:t>.</w:t>
      </w:r>
      <w:r w:rsidR="005904AF" w:rsidRPr="00AD3D68">
        <w:rPr>
          <w:rFonts w:ascii="Arial" w:hAnsi="Arial" w:cs="Arial"/>
        </w:rPr>
        <w:t xml:space="preserve"> </w:t>
      </w:r>
    </w:p>
    <w:p w14:paraId="39624602" w14:textId="77777777" w:rsidR="004438D9" w:rsidRPr="00AD3D68" w:rsidRDefault="004438D9" w:rsidP="002672C0">
      <w:pPr>
        <w:spacing w:after="0"/>
        <w:rPr>
          <w:rFonts w:ascii="Arial" w:hAnsi="Arial" w:cs="Arial"/>
        </w:rPr>
      </w:pPr>
    </w:p>
    <w:p w14:paraId="39C62A8D" w14:textId="0853C57B" w:rsidR="00315546" w:rsidRPr="00AD3D68" w:rsidRDefault="00753724" w:rsidP="002672C0">
      <w:pPr>
        <w:spacing w:after="0"/>
        <w:rPr>
          <w:rFonts w:ascii="Arial" w:hAnsi="Arial" w:cs="Arial"/>
          <w:i/>
          <w:iCs/>
        </w:rPr>
      </w:pPr>
      <w:r w:rsidRPr="00AD3D68">
        <w:rPr>
          <w:rFonts w:ascii="Arial" w:hAnsi="Arial" w:cs="Arial"/>
          <w:i/>
          <w:iCs/>
        </w:rPr>
        <w:t xml:space="preserve">Republic of </w:t>
      </w:r>
      <w:r w:rsidR="001634E9" w:rsidRPr="00AD3D68">
        <w:rPr>
          <w:rFonts w:ascii="Arial" w:hAnsi="Arial" w:cs="Arial"/>
          <w:i/>
          <w:iCs/>
        </w:rPr>
        <w:t>Ireland</w:t>
      </w:r>
    </w:p>
    <w:p w14:paraId="184896C8" w14:textId="082C312A" w:rsidR="00324E66" w:rsidRPr="00AD3D68" w:rsidRDefault="00435793" w:rsidP="007170E3">
      <w:pPr>
        <w:autoSpaceDE w:val="0"/>
        <w:autoSpaceDN w:val="0"/>
        <w:adjustRightInd w:val="0"/>
        <w:spacing w:after="0" w:line="240" w:lineRule="auto"/>
        <w:rPr>
          <w:rFonts w:ascii="Arial" w:hAnsi="Arial" w:cs="Arial"/>
        </w:rPr>
      </w:pPr>
      <w:r w:rsidRPr="00AD3D68">
        <w:rPr>
          <w:rFonts w:ascii="Arial" w:hAnsi="Arial" w:cs="Arial"/>
        </w:rPr>
        <w:t>The Criminal Justice (Money Laundering and Terrorist Financing) (Amendment) Act 2018</w:t>
      </w:r>
      <w:r w:rsidR="00AC178A" w:rsidRPr="00AD3D68">
        <w:rPr>
          <w:rFonts w:ascii="Arial" w:hAnsi="Arial" w:cs="Arial"/>
        </w:rPr>
        <w:t xml:space="preserve"> </w:t>
      </w:r>
      <w:r w:rsidR="00D146FC">
        <w:rPr>
          <w:rFonts w:ascii="Arial" w:hAnsi="Arial" w:cs="Arial"/>
        </w:rPr>
        <w:t xml:space="preserve">as amended, </w:t>
      </w:r>
      <w:r w:rsidR="00666DF8" w:rsidRPr="00AD3D68">
        <w:rPr>
          <w:rFonts w:ascii="Arial" w:hAnsi="Arial" w:cs="Arial"/>
        </w:rPr>
        <w:t xml:space="preserve">(the “AML Act”) </w:t>
      </w:r>
      <w:r w:rsidR="00EA5B6D" w:rsidRPr="00AD3D68">
        <w:rPr>
          <w:rFonts w:ascii="Arial" w:hAnsi="Arial" w:cs="Arial"/>
        </w:rPr>
        <w:t xml:space="preserve">requires ACCA member </w:t>
      </w:r>
      <w:r w:rsidR="00B7167A" w:rsidRPr="00AD3D68">
        <w:rPr>
          <w:rFonts w:ascii="Arial" w:hAnsi="Arial" w:cs="Arial"/>
        </w:rPr>
        <w:t xml:space="preserve">or member </w:t>
      </w:r>
      <w:r w:rsidR="00EA5B6D" w:rsidRPr="00AD3D68">
        <w:rPr>
          <w:rFonts w:ascii="Arial" w:hAnsi="Arial" w:cs="Arial"/>
        </w:rPr>
        <w:t>firms (</w:t>
      </w:r>
      <w:r w:rsidR="00865615" w:rsidRPr="00AD3D68">
        <w:rPr>
          <w:rFonts w:ascii="Arial" w:hAnsi="Arial" w:cs="Arial"/>
        </w:rPr>
        <w:t>“</w:t>
      </w:r>
      <w:r w:rsidR="00704490" w:rsidRPr="00AD3D68">
        <w:rPr>
          <w:rFonts w:ascii="Arial" w:hAnsi="Arial" w:cs="Arial"/>
        </w:rPr>
        <w:t>d</w:t>
      </w:r>
      <w:r w:rsidR="00EA5B6D" w:rsidRPr="00AD3D68">
        <w:rPr>
          <w:rFonts w:ascii="Arial" w:hAnsi="Arial" w:cs="Arial"/>
        </w:rPr>
        <w:t xml:space="preserve">esignated </w:t>
      </w:r>
      <w:r w:rsidR="00865615" w:rsidRPr="00AD3D68">
        <w:rPr>
          <w:rFonts w:ascii="Arial" w:hAnsi="Arial" w:cs="Arial"/>
        </w:rPr>
        <w:t>person”)</w:t>
      </w:r>
      <w:r w:rsidR="00AC178A" w:rsidRPr="00AD3D68">
        <w:rPr>
          <w:rFonts w:ascii="Arial" w:hAnsi="Arial" w:cs="Arial"/>
        </w:rPr>
        <w:t xml:space="preserve"> </w:t>
      </w:r>
      <w:r w:rsidR="00865615" w:rsidRPr="00AD3D68">
        <w:rPr>
          <w:rFonts w:ascii="Arial" w:hAnsi="Arial" w:cs="Arial"/>
        </w:rPr>
        <w:t xml:space="preserve">to </w:t>
      </w:r>
      <w:r w:rsidR="00865615" w:rsidRPr="00AD3D68">
        <w:rPr>
          <w:rFonts w:ascii="Arial" w:hAnsi="Arial" w:cs="Arial"/>
        </w:rPr>
        <w:lastRenderedPageBreak/>
        <w:t>take appropriate steps to identify and assess the risk that they could be used for money laundering, including terrorist financing</w:t>
      </w:r>
      <w:r w:rsidR="00F674F5" w:rsidRPr="00AD3D68">
        <w:rPr>
          <w:rFonts w:ascii="Arial" w:hAnsi="Arial" w:cs="Arial"/>
        </w:rPr>
        <w:t xml:space="preserve">, </w:t>
      </w:r>
      <w:r w:rsidR="00C0659E" w:rsidRPr="00AD3D68">
        <w:rPr>
          <w:rFonts w:ascii="Arial" w:hAnsi="Arial" w:cs="Arial"/>
        </w:rPr>
        <w:t>taking into account the risk factors set out in Section 30A of the AML</w:t>
      </w:r>
      <w:r w:rsidR="007170E3" w:rsidRPr="00AD3D68">
        <w:rPr>
          <w:rFonts w:ascii="Arial" w:hAnsi="Arial" w:cs="Arial"/>
        </w:rPr>
        <w:t xml:space="preserve"> </w:t>
      </w:r>
      <w:r w:rsidR="00C0659E" w:rsidRPr="00AD3D68">
        <w:rPr>
          <w:rFonts w:ascii="Arial" w:hAnsi="Arial" w:cs="Arial"/>
        </w:rPr>
        <w:t>Act.</w:t>
      </w:r>
      <w:r w:rsidR="00865615" w:rsidRPr="00AD3D68">
        <w:rPr>
          <w:rFonts w:ascii="Arial" w:hAnsi="Arial" w:cs="Arial"/>
        </w:rPr>
        <w:t xml:space="preserve"> </w:t>
      </w:r>
    </w:p>
    <w:p w14:paraId="60B96D51" w14:textId="7E285F09" w:rsidR="00324E66" w:rsidRPr="00AD3D68" w:rsidRDefault="00324E66" w:rsidP="006E739E">
      <w:pPr>
        <w:autoSpaceDE w:val="0"/>
        <w:autoSpaceDN w:val="0"/>
        <w:adjustRightInd w:val="0"/>
        <w:spacing w:after="0" w:line="240" w:lineRule="auto"/>
        <w:rPr>
          <w:rFonts w:ascii="Arial" w:hAnsi="Arial" w:cs="Arial"/>
        </w:rPr>
      </w:pPr>
    </w:p>
    <w:p w14:paraId="76E3448A" w14:textId="2266C7C4" w:rsidR="00C53CE0" w:rsidRDefault="005919F2" w:rsidP="006E739E">
      <w:pPr>
        <w:autoSpaceDE w:val="0"/>
        <w:autoSpaceDN w:val="0"/>
        <w:adjustRightInd w:val="0"/>
        <w:spacing w:after="0" w:line="240" w:lineRule="auto"/>
        <w:rPr>
          <w:rFonts w:ascii="Arial" w:hAnsi="Arial" w:cs="Arial"/>
        </w:rPr>
      </w:pPr>
      <w:r w:rsidRPr="00AD3D68">
        <w:rPr>
          <w:rFonts w:ascii="Arial" w:hAnsi="Arial" w:cs="Arial"/>
        </w:rPr>
        <w:t xml:space="preserve">Under section 61 of </w:t>
      </w:r>
      <w:r w:rsidR="00666DF8" w:rsidRPr="00AD3D68">
        <w:rPr>
          <w:rFonts w:ascii="Arial" w:hAnsi="Arial" w:cs="Arial"/>
        </w:rPr>
        <w:t xml:space="preserve">the AML Act, </w:t>
      </w:r>
      <w:r w:rsidR="007170E3" w:rsidRPr="00AD3D68">
        <w:rPr>
          <w:rFonts w:ascii="Arial" w:hAnsi="Arial" w:cs="Arial"/>
        </w:rPr>
        <w:t>ACCA is a designated accountancy body</w:t>
      </w:r>
      <w:r w:rsidR="002B300A" w:rsidRPr="00AD3D68">
        <w:rPr>
          <w:rFonts w:ascii="Arial" w:hAnsi="Arial" w:cs="Arial"/>
        </w:rPr>
        <w:t xml:space="preserve"> and is</w:t>
      </w:r>
      <w:r w:rsidR="00786E46" w:rsidRPr="00AD3D68">
        <w:rPr>
          <w:rFonts w:ascii="Arial" w:hAnsi="Arial" w:cs="Arial"/>
        </w:rPr>
        <w:t xml:space="preserve"> </w:t>
      </w:r>
      <w:r w:rsidR="003845AB" w:rsidRPr="00AD3D68">
        <w:rPr>
          <w:rFonts w:ascii="Arial" w:hAnsi="Arial" w:cs="Arial"/>
        </w:rPr>
        <w:t>required under section 63 of the AML Act to effectively monitor its member or member firm’s compliance with the money laundering regulations.</w:t>
      </w:r>
    </w:p>
    <w:p w14:paraId="5C0A63D2" w14:textId="15A46348" w:rsidR="00D146FC" w:rsidRDefault="00D146FC" w:rsidP="006E739E">
      <w:pPr>
        <w:autoSpaceDE w:val="0"/>
        <w:autoSpaceDN w:val="0"/>
        <w:adjustRightInd w:val="0"/>
        <w:spacing w:after="0" w:line="240" w:lineRule="auto"/>
        <w:rPr>
          <w:rFonts w:ascii="Arial" w:hAnsi="Arial" w:cs="Arial"/>
        </w:rPr>
      </w:pPr>
    </w:p>
    <w:p w14:paraId="5E817B86" w14:textId="2E7A497E" w:rsidR="00D146FC" w:rsidRDefault="00D146FC" w:rsidP="006E739E">
      <w:pPr>
        <w:autoSpaceDE w:val="0"/>
        <w:autoSpaceDN w:val="0"/>
        <w:adjustRightInd w:val="0"/>
        <w:spacing w:after="0" w:line="240" w:lineRule="auto"/>
        <w:rPr>
          <w:rFonts w:ascii="Arial" w:hAnsi="Arial" w:cs="Arial"/>
        </w:rPr>
      </w:pPr>
      <w:r>
        <w:rPr>
          <w:rFonts w:ascii="Arial" w:hAnsi="Arial" w:cs="Arial"/>
        </w:rPr>
        <w:t xml:space="preserve">Note that </w:t>
      </w:r>
      <w:r w:rsidR="0048396B">
        <w:rPr>
          <w:rFonts w:ascii="Arial" w:hAnsi="Arial" w:cs="Arial"/>
        </w:rPr>
        <w:t>many Irish practice also file tax returns with HMRC and to do so ACCA needs to register that firm with HMRC</w:t>
      </w:r>
      <w:r w:rsidR="00C719D1">
        <w:rPr>
          <w:rFonts w:ascii="Arial" w:hAnsi="Arial" w:cs="Arial"/>
        </w:rPr>
        <w:t xml:space="preserve"> for anti-money laundering</w:t>
      </w:r>
      <w:r w:rsidR="0048396B">
        <w:rPr>
          <w:rFonts w:ascii="Arial" w:hAnsi="Arial" w:cs="Arial"/>
        </w:rPr>
        <w:t xml:space="preserve">.  </w:t>
      </w:r>
      <w:r w:rsidR="00AD6424">
        <w:rPr>
          <w:rFonts w:ascii="Arial" w:hAnsi="Arial" w:cs="Arial"/>
        </w:rPr>
        <w:t xml:space="preserve">Most Irish practices are already UK registered but if you are not contact </w:t>
      </w:r>
      <w:hyperlink r:id="rId12" w:history="1">
        <w:r w:rsidR="00EE4387" w:rsidRPr="00937617">
          <w:rPr>
            <w:rStyle w:val="Hyperlink"/>
            <w:rFonts w:ascii="Arial" w:hAnsi="Arial" w:cs="Arial"/>
          </w:rPr>
          <w:t>authorisation@accaglobal.com</w:t>
        </w:r>
      </w:hyperlink>
      <w:r w:rsidR="00EE4387">
        <w:rPr>
          <w:rFonts w:ascii="Arial" w:hAnsi="Arial" w:cs="Arial"/>
        </w:rPr>
        <w:t xml:space="preserve"> to extend the scop of your registration.</w:t>
      </w:r>
      <w:r w:rsidR="00AD6424">
        <w:rPr>
          <w:rFonts w:ascii="Arial" w:hAnsi="Arial" w:cs="Arial"/>
        </w:rPr>
        <w:t xml:space="preserve"> </w:t>
      </w:r>
      <w:r w:rsidR="00EE4387">
        <w:rPr>
          <w:rFonts w:ascii="Arial" w:hAnsi="Arial" w:cs="Arial"/>
        </w:rPr>
        <w:t xml:space="preserve">ACCA currently passes </w:t>
      </w:r>
      <w:r w:rsidR="007319AA">
        <w:rPr>
          <w:rFonts w:ascii="Arial" w:hAnsi="Arial" w:cs="Arial"/>
        </w:rPr>
        <w:t xml:space="preserve">on </w:t>
      </w:r>
      <w:r w:rsidR="008000FE">
        <w:rPr>
          <w:rFonts w:ascii="Arial" w:hAnsi="Arial" w:cs="Arial"/>
        </w:rPr>
        <w:t xml:space="preserve">the </w:t>
      </w:r>
      <w:hyperlink r:id="rId13" w:history="1">
        <w:r w:rsidR="00250C2F">
          <w:rPr>
            <w:rStyle w:val="Hyperlink"/>
            <w:rFonts w:ascii="Arial" w:hAnsi="Arial" w:cs="Arial"/>
          </w:rPr>
          <w:t xml:space="preserve">OPBAS registration fee  levy  </w:t>
        </w:r>
      </w:hyperlink>
      <w:r w:rsidR="008000FE" w:rsidRPr="008000FE">
        <w:rPr>
          <w:rFonts w:ascii="Arial" w:hAnsi="Arial" w:cs="Arial"/>
        </w:rPr>
        <w:t xml:space="preserve"> </w:t>
      </w:r>
      <w:r w:rsidR="00C719D1">
        <w:rPr>
          <w:rFonts w:ascii="Arial" w:hAnsi="Arial" w:cs="Arial"/>
        </w:rPr>
        <w:t>to the firm</w:t>
      </w:r>
      <w:r w:rsidR="007319AA">
        <w:rPr>
          <w:rFonts w:ascii="Arial" w:hAnsi="Arial" w:cs="Arial"/>
        </w:rPr>
        <w:t xml:space="preserve">s and </w:t>
      </w:r>
      <w:r w:rsidR="00250C2F">
        <w:rPr>
          <w:rFonts w:ascii="Arial" w:hAnsi="Arial" w:cs="Arial"/>
        </w:rPr>
        <w:t xml:space="preserve">in 2019/20 this was </w:t>
      </w:r>
      <w:r w:rsidR="00637E29">
        <w:rPr>
          <w:rFonts w:ascii="Arial" w:hAnsi="Arial" w:cs="Arial"/>
        </w:rPr>
        <w:t xml:space="preserve">£37.60 per practice.  </w:t>
      </w:r>
      <w:r w:rsidR="008000FE">
        <w:rPr>
          <w:rFonts w:ascii="Arial" w:hAnsi="Arial" w:cs="Arial"/>
        </w:rPr>
        <w:t xml:space="preserve"> </w:t>
      </w:r>
    </w:p>
    <w:p w14:paraId="5144AC37" w14:textId="77777777" w:rsidR="00C53CE0" w:rsidRPr="00184B7E" w:rsidRDefault="00C53CE0" w:rsidP="006E739E">
      <w:pPr>
        <w:autoSpaceDE w:val="0"/>
        <w:autoSpaceDN w:val="0"/>
        <w:adjustRightInd w:val="0"/>
        <w:spacing w:after="0" w:line="240" w:lineRule="auto"/>
        <w:rPr>
          <w:rFonts w:ascii="Arial" w:hAnsi="Arial" w:cs="Arial"/>
          <w:b/>
          <w:bCs/>
        </w:rPr>
      </w:pPr>
    </w:p>
    <w:p w14:paraId="4A7D5BA9" w14:textId="2C5A29EC" w:rsidR="003845AB" w:rsidRDefault="007379B3" w:rsidP="006E739E">
      <w:pPr>
        <w:autoSpaceDE w:val="0"/>
        <w:autoSpaceDN w:val="0"/>
        <w:adjustRightInd w:val="0"/>
        <w:spacing w:after="0" w:line="240" w:lineRule="auto"/>
        <w:rPr>
          <w:rFonts w:ascii="Arial" w:hAnsi="Arial" w:cs="Arial"/>
          <w:b/>
          <w:bCs/>
        </w:rPr>
      </w:pPr>
      <w:r w:rsidRPr="00E1595B">
        <w:rPr>
          <w:rFonts w:ascii="Arial" w:hAnsi="Arial" w:cs="Arial"/>
          <w:b/>
          <w:bCs/>
        </w:rPr>
        <w:t>Requirements of an ACCA AML supervised firm</w:t>
      </w:r>
    </w:p>
    <w:p w14:paraId="1A070533" w14:textId="06EE195A" w:rsidR="007379B3" w:rsidRDefault="007379B3" w:rsidP="006E739E">
      <w:pPr>
        <w:autoSpaceDE w:val="0"/>
        <w:autoSpaceDN w:val="0"/>
        <w:adjustRightInd w:val="0"/>
        <w:spacing w:after="0" w:line="240" w:lineRule="auto"/>
        <w:rPr>
          <w:rFonts w:ascii="Arial" w:hAnsi="Arial" w:cs="Arial"/>
          <w:b/>
          <w:bCs/>
        </w:rPr>
      </w:pPr>
    </w:p>
    <w:p w14:paraId="774F3941" w14:textId="488527E7" w:rsidR="004E4B75" w:rsidRDefault="004E4B75" w:rsidP="006E739E">
      <w:pPr>
        <w:autoSpaceDE w:val="0"/>
        <w:autoSpaceDN w:val="0"/>
        <w:adjustRightInd w:val="0"/>
        <w:spacing w:after="0" w:line="240" w:lineRule="auto"/>
        <w:rPr>
          <w:rFonts w:ascii="Arial" w:hAnsi="Arial" w:cs="Arial"/>
        </w:rPr>
      </w:pPr>
      <w:r>
        <w:rPr>
          <w:rFonts w:ascii="Arial" w:hAnsi="Arial" w:cs="Arial"/>
        </w:rPr>
        <w:t xml:space="preserve">To comply with money laundering Regulations ACCA supervised firms must: </w:t>
      </w:r>
    </w:p>
    <w:p w14:paraId="0826833B" w14:textId="3758AEF9" w:rsidR="004E4B75" w:rsidRDefault="004E4B75" w:rsidP="006E739E">
      <w:pPr>
        <w:autoSpaceDE w:val="0"/>
        <w:autoSpaceDN w:val="0"/>
        <w:adjustRightInd w:val="0"/>
        <w:spacing w:after="0" w:line="240" w:lineRule="auto"/>
        <w:rPr>
          <w:rFonts w:ascii="Arial" w:hAnsi="Arial" w:cs="Arial"/>
        </w:rPr>
      </w:pPr>
    </w:p>
    <w:p w14:paraId="603D4911" w14:textId="13DD2C47" w:rsidR="004E4B75" w:rsidRDefault="004E4B75" w:rsidP="004E4B75">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Conduct and document a </w:t>
      </w:r>
      <w:r w:rsidR="00B37B2D">
        <w:rPr>
          <w:rFonts w:ascii="Arial" w:hAnsi="Arial" w:cs="Arial"/>
        </w:rPr>
        <w:t>f</w:t>
      </w:r>
      <w:r>
        <w:rPr>
          <w:rFonts w:ascii="Arial" w:hAnsi="Arial" w:cs="Arial"/>
        </w:rPr>
        <w:t xml:space="preserve">irm </w:t>
      </w:r>
      <w:r w:rsidR="00B37B2D">
        <w:rPr>
          <w:rFonts w:ascii="Arial" w:hAnsi="Arial" w:cs="Arial"/>
        </w:rPr>
        <w:t>w</w:t>
      </w:r>
      <w:r>
        <w:rPr>
          <w:rFonts w:ascii="Arial" w:hAnsi="Arial" w:cs="Arial"/>
        </w:rPr>
        <w:t xml:space="preserve">ide </w:t>
      </w:r>
      <w:r w:rsidR="00B37B2D">
        <w:rPr>
          <w:rFonts w:ascii="Arial" w:hAnsi="Arial" w:cs="Arial"/>
        </w:rPr>
        <w:t>r</w:t>
      </w:r>
      <w:r>
        <w:rPr>
          <w:rFonts w:ascii="Arial" w:hAnsi="Arial" w:cs="Arial"/>
        </w:rPr>
        <w:t xml:space="preserve">isk </w:t>
      </w:r>
      <w:r w:rsidR="00B37B2D">
        <w:rPr>
          <w:rFonts w:ascii="Arial" w:hAnsi="Arial" w:cs="Arial"/>
        </w:rPr>
        <w:t>a</w:t>
      </w:r>
      <w:r>
        <w:rPr>
          <w:rFonts w:ascii="Arial" w:hAnsi="Arial" w:cs="Arial"/>
        </w:rPr>
        <w:t>ssessment of the money laundering and terrorist financing risks faced by the firm</w:t>
      </w:r>
    </w:p>
    <w:p w14:paraId="2D891BC3" w14:textId="24622F28" w:rsidR="004E4B75" w:rsidRDefault="00B37B2D" w:rsidP="004E4B75">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Establish and regularly maintain and update AML policies and procedures specific to the firm that have been informed by the firm wide risk assessment</w:t>
      </w:r>
    </w:p>
    <w:p w14:paraId="65B7D6D7" w14:textId="168D079C" w:rsidR="007319AA" w:rsidRDefault="007319AA" w:rsidP="004E4B75">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Undertake a search of the appropriate Register of Beneficial Owners for corporate and trust clients prior to onboarding a new client </w:t>
      </w:r>
    </w:p>
    <w:p w14:paraId="20ECC0BD" w14:textId="770A1139" w:rsidR="00B37B2D" w:rsidRDefault="00B37B2D" w:rsidP="004E4B75">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Conduct the appropriate level of due diligence on every client including: risk rating the client appropriately, identifying and verifying the client, understanding their source of funds and conducting appropriate levels of on-going monitoring. </w:t>
      </w:r>
    </w:p>
    <w:p w14:paraId="5843B822" w14:textId="6C204295" w:rsidR="00B37B2D" w:rsidRDefault="00B37B2D" w:rsidP="004E4B75">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Train all relevant employees so they can identify: money laundering and terrorist financing risks, red flag indicators and suspicious activities. The employees should be trained on how to escalate suspicions to the firms MLRO. </w:t>
      </w:r>
    </w:p>
    <w:p w14:paraId="0586E0BC" w14:textId="10FD9E53" w:rsidR="00E5005C" w:rsidRPr="00E1595B" w:rsidRDefault="004F7E4E" w:rsidP="00E1595B">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In the UK supervised firms must a</w:t>
      </w:r>
      <w:r w:rsidR="00E5005C">
        <w:rPr>
          <w:rFonts w:ascii="Arial" w:hAnsi="Arial" w:cs="Arial"/>
        </w:rPr>
        <w:t>pply to ACCA for approval of the firms beneficial owners, officer and managers (BOOMs)</w:t>
      </w:r>
      <w:r>
        <w:rPr>
          <w:rFonts w:ascii="Arial" w:hAnsi="Arial" w:cs="Arial"/>
        </w:rPr>
        <w:t xml:space="preserve"> and they </w:t>
      </w:r>
      <w:r w:rsidR="00E5005C" w:rsidRPr="00E1595B">
        <w:rPr>
          <w:rFonts w:ascii="Arial" w:hAnsi="Arial" w:cs="Arial"/>
        </w:rPr>
        <w:t xml:space="preserve">must notify ACCA if they </w:t>
      </w:r>
      <w:r w:rsidRPr="00E1595B">
        <w:rPr>
          <w:rFonts w:ascii="Arial" w:hAnsi="Arial" w:cs="Arial"/>
        </w:rPr>
        <w:t>are trust or company service provider</w:t>
      </w:r>
      <w:r w:rsidR="00E5005C" w:rsidRPr="00E1595B">
        <w:rPr>
          <w:rFonts w:ascii="Arial" w:hAnsi="Arial" w:cs="Arial"/>
        </w:rPr>
        <w:t>s</w:t>
      </w:r>
      <w:r w:rsidRPr="00E1595B">
        <w:rPr>
          <w:rFonts w:ascii="Arial" w:hAnsi="Arial" w:cs="Arial"/>
        </w:rPr>
        <w:t xml:space="preserve"> (TCSP) so that we can update the HMRC TCSP register</w:t>
      </w:r>
      <w:r>
        <w:rPr>
          <w:rFonts w:ascii="Arial" w:hAnsi="Arial" w:cs="Arial"/>
        </w:rPr>
        <w:t>.</w:t>
      </w:r>
      <w:r w:rsidR="00E5005C" w:rsidRPr="00E1595B">
        <w:rPr>
          <w:rFonts w:ascii="Arial" w:hAnsi="Arial" w:cs="Arial"/>
        </w:rPr>
        <w:t xml:space="preserve"> </w:t>
      </w:r>
    </w:p>
    <w:p w14:paraId="018D0A72" w14:textId="77777777" w:rsidR="004E4B75" w:rsidRPr="00E1595B" w:rsidRDefault="004E4B75" w:rsidP="006E739E">
      <w:pPr>
        <w:autoSpaceDE w:val="0"/>
        <w:autoSpaceDN w:val="0"/>
        <w:adjustRightInd w:val="0"/>
        <w:spacing w:after="0" w:line="240" w:lineRule="auto"/>
        <w:rPr>
          <w:rFonts w:ascii="Arial" w:hAnsi="Arial" w:cs="Arial"/>
        </w:rPr>
      </w:pPr>
    </w:p>
    <w:p w14:paraId="033B93E2" w14:textId="77777777" w:rsidR="004E4B75" w:rsidRDefault="004E4B75" w:rsidP="006E739E">
      <w:pPr>
        <w:autoSpaceDE w:val="0"/>
        <w:autoSpaceDN w:val="0"/>
        <w:adjustRightInd w:val="0"/>
        <w:spacing w:after="0" w:line="240" w:lineRule="auto"/>
        <w:rPr>
          <w:rFonts w:ascii="Arial" w:hAnsi="Arial" w:cs="Arial"/>
          <w:b/>
          <w:bCs/>
        </w:rPr>
      </w:pPr>
    </w:p>
    <w:p w14:paraId="0719E710" w14:textId="37E4EE37" w:rsidR="003578D0" w:rsidRDefault="003578D0" w:rsidP="003578D0">
      <w:pPr>
        <w:spacing w:after="0"/>
        <w:rPr>
          <w:rFonts w:ascii="Arial" w:hAnsi="Arial" w:cs="Arial"/>
        </w:rPr>
      </w:pPr>
      <w:r w:rsidRPr="00AD3D68">
        <w:rPr>
          <w:rFonts w:ascii="Arial" w:hAnsi="Arial" w:cs="Arial"/>
        </w:rPr>
        <w:t xml:space="preserve">Further information </w:t>
      </w:r>
      <w:r>
        <w:rPr>
          <w:rFonts w:ascii="Arial" w:hAnsi="Arial" w:cs="Arial"/>
        </w:rPr>
        <w:t xml:space="preserve">on what is required </w:t>
      </w:r>
      <w:r w:rsidRPr="00AD3D68">
        <w:rPr>
          <w:rFonts w:ascii="Arial" w:hAnsi="Arial" w:cs="Arial"/>
        </w:rPr>
        <w:t xml:space="preserve">and guidance on AML </w:t>
      </w:r>
      <w:r>
        <w:rPr>
          <w:rFonts w:ascii="Arial" w:hAnsi="Arial" w:cs="Arial"/>
        </w:rPr>
        <w:t xml:space="preserve">regulation </w:t>
      </w:r>
      <w:r w:rsidRPr="00AD3D68">
        <w:rPr>
          <w:rFonts w:ascii="Arial" w:hAnsi="Arial" w:cs="Arial"/>
        </w:rPr>
        <w:t xml:space="preserve">is available on the </w:t>
      </w:r>
      <w:r w:rsidRPr="0063725A">
        <w:rPr>
          <w:rFonts w:ascii="Arial" w:hAnsi="Arial" w:cs="Arial"/>
        </w:rPr>
        <w:t>technical resources section of ACCA website at:</w:t>
      </w:r>
    </w:p>
    <w:p w14:paraId="64937F0F" w14:textId="77777777" w:rsidR="00B37B2D" w:rsidRPr="0063725A" w:rsidRDefault="00B37B2D" w:rsidP="003578D0">
      <w:pPr>
        <w:spacing w:after="0"/>
        <w:rPr>
          <w:rFonts w:ascii="Arial" w:hAnsi="Arial" w:cs="Arial"/>
        </w:rPr>
      </w:pPr>
    </w:p>
    <w:p w14:paraId="07C1FDFF" w14:textId="77777777" w:rsidR="003578D0" w:rsidRDefault="003578D0" w:rsidP="003578D0">
      <w:pPr>
        <w:pStyle w:val="ListParagraph"/>
        <w:numPr>
          <w:ilvl w:val="0"/>
          <w:numId w:val="4"/>
        </w:numPr>
        <w:spacing w:after="0"/>
        <w:rPr>
          <w:rFonts w:ascii="Arial" w:hAnsi="Arial" w:cs="Arial"/>
        </w:rPr>
      </w:pPr>
      <w:r w:rsidRPr="0063725A">
        <w:rPr>
          <w:rFonts w:ascii="Arial" w:hAnsi="Arial" w:cs="Arial"/>
        </w:rPr>
        <w:t>UK</w:t>
      </w:r>
    </w:p>
    <w:p w14:paraId="56F83EDB" w14:textId="1BA62647" w:rsidR="004F7E4E" w:rsidRPr="00E1595B" w:rsidRDefault="008000FE" w:rsidP="003578D0">
      <w:pPr>
        <w:pStyle w:val="ListParagraph"/>
        <w:numPr>
          <w:ilvl w:val="1"/>
          <w:numId w:val="4"/>
        </w:numPr>
        <w:spacing w:after="0"/>
        <w:rPr>
          <w:rStyle w:val="Hyperlink"/>
          <w:rFonts w:ascii="Arial" w:hAnsi="Arial" w:cs="Arial"/>
          <w:color w:val="auto"/>
          <w:u w:val="none"/>
        </w:rPr>
      </w:pPr>
      <w:hyperlink r:id="rId14" w:history="1">
        <w:r w:rsidRPr="00937617">
          <w:rPr>
            <w:rStyle w:val="Hyperlink"/>
            <w:rFonts w:ascii="Arial" w:hAnsi="Arial" w:cs="Arial"/>
          </w:rPr>
          <w:t>https://www.accaglobal.com/gb/en/technical-activities/data-and-information-security.html</w:t>
        </w:r>
      </w:hyperlink>
      <w:r w:rsidR="003578D0" w:rsidRPr="0063725A">
        <w:rPr>
          <w:rStyle w:val="Hyperlink"/>
          <w:rFonts w:ascii="Arial" w:hAnsi="Arial" w:cs="Arial"/>
          <w:u w:val="none"/>
        </w:rPr>
        <w:t xml:space="preserve"> </w:t>
      </w:r>
    </w:p>
    <w:p w14:paraId="206FCE29" w14:textId="6CC7EA14" w:rsidR="003578D0" w:rsidRPr="004F7E4E" w:rsidRDefault="004F7E4E">
      <w:pPr>
        <w:pStyle w:val="ListParagraph"/>
        <w:numPr>
          <w:ilvl w:val="1"/>
          <w:numId w:val="4"/>
        </w:numPr>
        <w:spacing w:after="0"/>
        <w:rPr>
          <w:rFonts w:ascii="Arial" w:hAnsi="Arial" w:cs="Arial"/>
        </w:rPr>
      </w:pPr>
      <w:r>
        <w:rPr>
          <w:rStyle w:val="Hyperlink"/>
          <w:rFonts w:ascii="Arial" w:hAnsi="Arial" w:cs="Arial"/>
          <w:u w:val="none"/>
        </w:rPr>
        <w:t>F</w:t>
      </w:r>
      <w:r w:rsidRPr="004F7E4E">
        <w:rPr>
          <w:rStyle w:val="Hyperlink"/>
          <w:rFonts w:ascii="Arial" w:hAnsi="Arial" w:cs="Arial"/>
          <w:u w:val="none"/>
        </w:rPr>
        <w:t>or the approval of BOOMs and TCSP services</w:t>
      </w:r>
      <w:r>
        <w:rPr>
          <w:rStyle w:val="Hyperlink"/>
          <w:rFonts w:ascii="Arial" w:hAnsi="Arial" w:cs="Arial"/>
          <w:u w:val="none"/>
        </w:rPr>
        <w:t xml:space="preserve"> </w:t>
      </w:r>
      <w:hyperlink r:id="rId15" w:history="1">
        <w:r w:rsidR="003578D0" w:rsidRPr="004F7E4E">
          <w:rPr>
            <w:rStyle w:val="Hyperlink"/>
            <w:rFonts w:ascii="Arial" w:hAnsi="Arial" w:cs="Arial"/>
          </w:rPr>
          <w:t>https://www.accaglobal.com/gb/en/technical-activities/technical-resources-search/2018/april/Anti-money-laundering-guidance.html</w:t>
        </w:r>
      </w:hyperlink>
    </w:p>
    <w:p w14:paraId="7C44D002" w14:textId="77777777" w:rsidR="003578D0" w:rsidRDefault="003578D0" w:rsidP="003578D0">
      <w:pPr>
        <w:pStyle w:val="ListParagraph"/>
        <w:numPr>
          <w:ilvl w:val="0"/>
          <w:numId w:val="4"/>
        </w:numPr>
        <w:spacing w:after="0"/>
        <w:rPr>
          <w:rFonts w:ascii="Arial" w:hAnsi="Arial" w:cs="Arial"/>
        </w:rPr>
      </w:pPr>
      <w:r w:rsidRPr="0063725A">
        <w:rPr>
          <w:rFonts w:ascii="Arial" w:hAnsi="Arial" w:cs="Arial"/>
        </w:rPr>
        <w:t xml:space="preserve">Republic of Ireland </w:t>
      </w:r>
    </w:p>
    <w:p w14:paraId="76ECEA1D" w14:textId="77777777" w:rsidR="003578D0" w:rsidRPr="008D32AC" w:rsidRDefault="009660B5" w:rsidP="003578D0">
      <w:pPr>
        <w:pStyle w:val="ListParagraph"/>
        <w:numPr>
          <w:ilvl w:val="1"/>
          <w:numId w:val="4"/>
        </w:numPr>
        <w:spacing w:after="0"/>
        <w:rPr>
          <w:rFonts w:ascii="Arial" w:hAnsi="Arial" w:cs="Arial"/>
        </w:rPr>
      </w:pPr>
      <w:hyperlink r:id="rId16" w:history="1">
        <w:r w:rsidR="003578D0" w:rsidRPr="008D32AC">
          <w:rPr>
            <w:rStyle w:val="Hyperlink"/>
            <w:rFonts w:ascii="Arial" w:hAnsi="Arial" w:cs="Arial"/>
          </w:rPr>
          <w:t>https://www.accaglobal.com/gb/en/technical-activities/technical-resources-search/2019/may/aml-guidance.html</w:t>
        </w:r>
      </w:hyperlink>
    </w:p>
    <w:p w14:paraId="505E7567" w14:textId="2D6E7BD4" w:rsidR="007379B3" w:rsidRDefault="007379B3" w:rsidP="006E739E">
      <w:pPr>
        <w:autoSpaceDE w:val="0"/>
        <w:autoSpaceDN w:val="0"/>
        <w:adjustRightInd w:val="0"/>
        <w:spacing w:after="0" w:line="240" w:lineRule="auto"/>
        <w:rPr>
          <w:rFonts w:ascii="Arial" w:hAnsi="Arial" w:cs="Arial"/>
          <w:b/>
          <w:bCs/>
        </w:rPr>
      </w:pPr>
    </w:p>
    <w:p w14:paraId="02913283" w14:textId="0C95BE76" w:rsidR="003578D0" w:rsidRPr="00934715" w:rsidRDefault="003578D0" w:rsidP="006E739E">
      <w:pPr>
        <w:autoSpaceDE w:val="0"/>
        <w:autoSpaceDN w:val="0"/>
        <w:adjustRightInd w:val="0"/>
        <w:spacing w:after="0" w:line="240" w:lineRule="auto"/>
        <w:rPr>
          <w:rFonts w:ascii="Arial" w:hAnsi="Arial" w:cs="Arial"/>
        </w:rPr>
      </w:pPr>
      <w:r>
        <w:rPr>
          <w:rFonts w:ascii="Arial" w:hAnsi="Arial" w:cs="Arial"/>
        </w:rPr>
        <w:t>Firms should also refer to</w:t>
      </w:r>
      <w:r w:rsidR="00830A43">
        <w:rPr>
          <w:rFonts w:ascii="Arial" w:hAnsi="Arial" w:cs="Arial"/>
        </w:rPr>
        <w:t>,</w:t>
      </w:r>
      <w:r>
        <w:rPr>
          <w:rFonts w:ascii="Arial" w:hAnsi="Arial" w:cs="Arial"/>
        </w:rPr>
        <w:t xml:space="preserve"> and be familiar with</w:t>
      </w:r>
      <w:r w:rsidR="00830A43">
        <w:rPr>
          <w:rFonts w:ascii="Arial" w:hAnsi="Arial" w:cs="Arial"/>
        </w:rPr>
        <w:t>,</w:t>
      </w:r>
      <w:r>
        <w:rPr>
          <w:rFonts w:ascii="Arial" w:hAnsi="Arial" w:cs="Arial"/>
        </w:rPr>
        <w:t xml:space="preserve"> the AML Guidance for the Accountancy Sector. </w:t>
      </w:r>
    </w:p>
    <w:p w14:paraId="497CE655" w14:textId="79DE5171" w:rsidR="0053263D" w:rsidRDefault="0053263D" w:rsidP="006E739E">
      <w:pPr>
        <w:autoSpaceDE w:val="0"/>
        <w:autoSpaceDN w:val="0"/>
        <w:adjustRightInd w:val="0"/>
        <w:spacing w:after="0" w:line="240" w:lineRule="auto"/>
        <w:rPr>
          <w:rFonts w:ascii="Arial" w:hAnsi="Arial" w:cs="Arial"/>
        </w:rPr>
      </w:pPr>
    </w:p>
    <w:p w14:paraId="60E76671" w14:textId="77777777" w:rsidR="003578D0" w:rsidRPr="00AD3D68" w:rsidRDefault="003578D0" w:rsidP="006E739E">
      <w:pPr>
        <w:autoSpaceDE w:val="0"/>
        <w:autoSpaceDN w:val="0"/>
        <w:adjustRightInd w:val="0"/>
        <w:spacing w:after="0" w:line="240" w:lineRule="auto"/>
        <w:rPr>
          <w:rFonts w:ascii="Arial" w:hAnsi="Arial" w:cs="Arial"/>
        </w:rPr>
      </w:pPr>
    </w:p>
    <w:p w14:paraId="7B2F8FC2" w14:textId="6446CD8B" w:rsidR="00782F6D" w:rsidRPr="00AD3D68" w:rsidRDefault="00ED54C2" w:rsidP="002672C0">
      <w:pPr>
        <w:spacing w:after="0"/>
        <w:rPr>
          <w:rFonts w:ascii="Arial" w:hAnsi="Arial" w:cs="Arial"/>
          <w:b/>
          <w:bCs/>
        </w:rPr>
      </w:pPr>
      <w:r w:rsidRPr="00AD3D68">
        <w:rPr>
          <w:rFonts w:ascii="Arial" w:hAnsi="Arial" w:cs="Arial"/>
          <w:b/>
          <w:bCs/>
        </w:rPr>
        <w:t xml:space="preserve">AML </w:t>
      </w:r>
      <w:r w:rsidR="00426F19" w:rsidRPr="00AD3D68">
        <w:rPr>
          <w:rFonts w:ascii="Arial" w:hAnsi="Arial" w:cs="Arial"/>
          <w:b/>
          <w:bCs/>
        </w:rPr>
        <w:t>m</w:t>
      </w:r>
      <w:r w:rsidR="000A6706" w:rsidRPr="00AD3D68">
        <w:rPr>
          <w:rFonts w:ascii="Arial" w:hAnsi="Arial" w:cs="Arial"/>
          <w:b/>
          <w:bCs/>
        </w:rPr>
        <w:t xml:space="preserve">onitoring </w:t>
      </w:r>
      <w:r w:rsidR="00426F19" w:rsidRPr="00AD3D68">
        <w:rPr>
          <w:rFonts w:ascii="Arial" w:hAnsi="Arial" w:cs="Arial"/>
          <w:b/>
          <w:bCs/>
        </w:rPr>
        <w:t>review</w:t>
      </w:r>
      <w:r w:rsidR="00B4698E" w:rsidRPr="00AD3D68">
        <w:rPr>
          <w:rFonts w:ascii="Arial" w:hAnsi="Arial" w:cs="Arial"/>
          <w:b/>
          <w:bCs/>
        </w:rPr>
        <w:t xml:space="preserve"> process</w:t>
      </w:r>
    </w:p>
    <w:p w14:paraId="0C1F13E5" w14:textId="09D3F2F6" w:rsidR="000A6706" w:rsidRPr="00AD3D68" w:rsidRDefault="000A6706" w:rsidP="002672C0">
      <w:pPr>
        <w:spacing w:after="0"/>
        <w:rPr>
          <w:rFonts w:ascii="Arial" w:hAnsi="Arial" w:cs="Arial"/>
        </w:rPr>
      </w:pPr>
    </w:p>
    <w:p w14:paraId="2F72A9F8" w14:textId="2CFFDC95" w:rsidR="00AE1D30" w:rsidRDefault="00ED54C2" w:rsidP="002672C0">
      <w:pPr>
        <w:spacing w:after="0"/>
        <w:rPr>
          <w:rFonts w:ascii="Arial" w:hAnsi="Arial" w:cs="Arial"/>
        </w:rPr>
      </w:pPr>
      <w:r w:rsidRPr="00AD3D68">
        <w:rPr>
          <w:rFonts w:ascii="Arial" w:hAnsi="Arial" w:cs="Arial"/>
        </w:rPr>
        <w:t xml:space="preserve">AML </w:t>
      </w:r>
      <w:r w:rsidR="003D6C13" w:rsidRPr="00AD3D68">
        <w:rPr>
          <w:rFonts w:ascii="Arial" w:hAnsi="Arial" w:cs="Arial"/>
        </w:rPr>
        <w:t>m</w:t>
      </w:r>
      <w:r w:rsidR="000A6706" w:rsidRPr="00AD3D68">
        <w:rPr>
          <w:rFonts w:ascii="Arial" w:hAnsi="Arial" w:cs="Arial"/>
        </w:rPr>
        <w:t>onitoring</w:t>
      </w:r>
      <w:r w:rsidR="00A44AF7" w:rsidRPr="00AD3D68">
        <w:rPr>
          <w:rFonts w:ascii="Arial" w:hAnsi="Arial" w:cs="Arial"/>
        </w:rPr>
        <w:t xml:space="preserve"> reviews </w:t>
      </w:r>
      <w:r w:rsidR="00A53414" w:rsidRPr="00AD3D68">
        <w:rPr>
          <w:rFonts w:ascii="Arial" w:hAnsi="Arial" w:cs="Arial"/>
        </w:rPr>
        <w:t xml:space="preserve">in the </w:t>
      </w:r>
      <w:r w:rsidR="0026149C" w:rsidRPr="00AD3D68">
        <w:rPr>
          <w:rFonts w:ascii="Arial" w:hAnsi="Arial" w:cs="Arial"/>
        </w:rPr>
        <w:t xml:space="preserve">UK and </w:t>
      </w:r>
      <w:r w:rsidR="00A53414" w:rsidRPr="00AD3D68">
        <w:rPr>
          <w:rFonts w:ascii="Arial" w:hAnsi="Arial" w:cs="Arial"/>
        </w:rPr>
        <w:t>Rep</w:t>
      </w:r>
      <w:r w:rsidR="00A44AF7" w:rsidRPr="00AD3D68">
        <w:rPr>
          <w:rFonts w:ascii="Arial" w:hAnsi="Arial" w:cs="Arial"/>
        </w:rPr>
        <w:t>u</w:t>
      </w:r>
      <w:r w:rsidR="00A53414" w:rsidRPr="00AD3D68">
        <w:rPr>
          <w:rFonts w:ascii="Arial" w:hAnsi="Arial" w:cs="Arial"/>
        </w:rPr>
        <w:t>blic of Ireland</w:t>
      </w:r>
      <w:r w:rsidR="00A44AF7" w:rsidRPr="00AD3D68">
        <w:rPr>
          <w:rFonts w:ascii="Arial" w:hAnsi="Arial" w:cs="Arial"/>
        </w:rPr>
        <w:t xml:space="preserve"> are</w:t>
      </w:r>
      <w:r w:rsidRPr="00AD3D68">
        <w:rPr>
          <w:rFonts w:ascii="Arial" w:hAnsi="Arial" w:cs="Arial"/>
        </w:rPr>
        <w:t xml:space="preserve"> carried out by </w:t>
      </w:r>
      <w:r w:rsidR="00A44AF7" w:rsidRPr="00AD3D68">
        <w:rPr>
          <w:rFonts w:ascii="Arial" w:hAnsi="Arial" w:cs="Arial"/>
        </w:rPr>
        <w:t xml:space="preserve">a dedicated </w:t>
      </w:r>
      <w:r w:rsidR="00924E2E" w:rsidRPr="00AD3D68">
        <w:rPr>
          <w:rFonts w:ascii="Arial" w:hAnsi="Arial" w:cs="Arial"/>
        </w:rPr>
        <w:t xml:space="preserve">AML </w:t>
      </w:r>
      <w:r w:rsidR="00825F84" w:rsidRPr="00AD3D68">
        <w:rPr>
          <w:rFonts w:ascii="Arial" w:hAnsi="Arial" w:cs="Arial"/>
        </w:rPr>
        <w:t xml:space="preserve">supervisory </w:t>
      </w:r>
      <w:r w:rsidR="00924E2E" w:rsidRPr="00AD3D68">
        <w:rPr>
          <w:rFonts w:ascii="Arial" w:hAnsi="Arial" w:cs="Arial"/>
        </w:rPr>
        <w:t xml:space="preserve">team under the </w:t>
      </w:r>
      <w:r w:rsidR="00AE1D30" w:rsidRPr="00AD3D68">
        <w:rPr>
          <w:rFonts w:ascii="Arial" w:hAnsi="Arial" w:cs="Arial"/>
        </w:rPr>
        <w:t>Governance Department</w:t>
      </w:r>
      <w:r w:rsidR="00C86C81" w:rsidRPr="00AD3D68">
        <w:rPr>
          <w:rFonts w:ascii="Arial" w:hAnsi="Arial" w:cs="Arial"/>
        </w:rPr>
        <w:t xml:space="preserve">. </w:t>
      </w:r>
    </w:p>
    <w:p w14:paraId="6EBE116C" w14:textId="0CAF5F83" w:rsidR="00EF2A1A" w:rsidRDefault="00EF2A1A" w:rsidP="002672C0">
      <w:pPr>
        <w:spacing w:after="0"/>
        <w:rPr>
          <w:rFonts w:ascii="Arial" w:hAnsi="Arial" w:cs="Arial"/>
        </w:rPr>
      </w:pPr>
    </w:p>
    <w:p w14:paraId="77142FF5" w14:textId="6D3098C3" w:rsidR="004620CD" w:rsidRDefault="00EF2A1A" w:rsidP="00EF2A1A">
      <w:pPr>
        <w:spacing w:after="0"/>
        <w:rPr>
          <w:rFonts w:ascii="Arial" w:hAnsi="Arial" w:cs="Arial"/>
        </w:rPr>
      </w:pPr>
      <w:r w:rsidRPr="00AD3D68">
        <w:rPr>
          <w:rFonts w:ascii="Arial" w:hAnsi="Arial" w:cs="Arial"/>
        </w:rPr>
        <w:t xml:space="preserve">AML reviews </w:t>
      </w:r>
      <w:r>
        <w:rPr>
          <w:rFonts w:ascii="Arial" w:hAnsi="Arial" w:cs="Arial"/>
        </w:rPr>
        <w:t xml:space="preserve">are either conducted </w:t>
      </w:r>
      <w:r w:rsidRPr="00AD3D68">
        <w:rPr>
          <w:rFonts w:ascii="Arial" w:hAnsi="Arial" w:cs="Arial"/>
          <w:b/>
          <w:bCs/>
        </w:rPr>
        <w:t>on-site</w:t>
      </w:r>
      <w:r w:rsidRPr="00AD3D68">
        <w:rPr>
          <w:rFonts w:ascii="Arial" w:hAnsi="Arial" w:cs="Arial"/>
        </w:rPr>
        <w:t xml:space="preserve"> </w:t>
      </w:r>
      <w:r>
        <w:rPr>
          <w:rFonts w:ascii="Arial" w:hAnsi="Arial" w:cs="Arial"/>
        </w:rPr>
        <w:t>or via</w:t>
      </w:r>
      <w:r w:rsidRPr="00AD3D68">
        <w:rPr>
          <w:rFonts w:ascii="Arial" w:hAnsi="Arial" w:cs="Arial"/>
        </w:rPr>
        <w:t xml:space="preserve"> </w:t>
      </w:r>
      <w:r w:rsidRPr="00AD3D68">
        <w:rPr>
          <w:rFonts w:ascii="Arial" w:hAnsi="Arial" w:cs="Arial"/>
          <w:b/>
          <w:bCs/>
        </w:rPr>
        <w:t>desktop</w:t>
      </w:r>
      <w:r w:rsidRPr="00AD3D68">
        <w:rPr>
          <w:rFonts w:ascii="Arial" w:hAnsi="Arial" w:cs="Arial"/>
        </w:rPr>
        <w:t xml:space="preserve">. </w:t>
      </w:r>
    </w:p>
    <w:p w14:paraId="5430611F" w14:textId="77777777" w:rsidR="004620CD" w:rsidRDefault="004620CD" w:rsidP="00EF2A1A">
      <w:pPr>
        <w:spacing w:after="0"/>
        <w:rPr>
          <w:rFonts w:ascii="Arial" w:hAnsi="Arial" w:cs="Arial"/>
        </w:rPr>
      </w:pPr>
    </w:p>
    <w:p w14:paraId="7C989037" w14:textId="2D59AD1B" w:rsidR="004620CD" w:rsidRDefault="00EF2A1A" w:rsidP="00EF2A1A">
      <w:pPr>
        <w:spacing w:after="0"/>
        <w:rPr>
          <w:rFonts w:ascii="Arial" w:hAnsi="Arial" w:cs="Arial"/>
        </w:rPr>
      </w:pPr>
      <w:r w:rsidRPr="00AD3D68">
        <w:rPr>
          <w:rFonts w:ascii="Arial" w:hAnsi="Arial" w:cs="Arial"/>
        </w:rPr>
        <w:t xml:space="preserve">The </w:t>
      </w:r>
      <w:r w:rsidRPr="00E1595B">
        <w:rPr>
          <w:rFonts w:ascii="Arial" w:hAnsi="Arial" w:cs="Arial"/>
          <w:b/>
          <w:bCs/>
        </w:rPr>
        <w:t>on</w:t>
      </w:r>
      <w:r w:rsidR="004620CD" w:rsidRPr="00E1595B">
        <w:rPr>
          <w:rFonts w:ascii="Arial" w:hAnsi="Arial" w:cs="Arial"/>
          <w:b/>
          <w:bCs/>
        </w:rPr>
        <w:t>-</w:t>
      </w:r>
      <w:r w:rsidRPr="00E1595B">
        <w:rPr>
          <w:rFonts w:ascii="Arial" w:hAnsi="Arial" w:cs="Arial"/>
          <w:b/>
          <w:bCs/>
        </w:rPr>
        <w:t>site</w:t>
      </w:r>
      <w:r w:rsidRPr="00AD3D68">
        <w:rPr>
          <w:rFonts w:ascii="Arial" w:hAnsi="Arial" w:cs="Arial"/>
        </w:rPr>
        <w:t xml:space="preserve"> review </w:t>
      </w:r>
      <w:r>
        <w:rPr>
          <w:rFonts w:ascii="Arial" w:hAnsi="Arial" w:cs="Arial"/>
        </w:rPr>
        <w:t>is conducted</w:t>
      </w:r>
      <w:r w:rsidRPr="00AD3D68">
        <w:rPr>
          <w:rFonts w:ascii="Arial" w:hAnsi="Arial" w:cs="Arial"/>
        </w:rPr>
        <w:t xml:space="preserve"> at the firm's registered office and </w:t>
      </w:r>
      <w:r>
        <w:rPr>
          <w:rFonts w:ascii="Arial" w:hAnsi="Arial" w:cs="Arial"/>
        </w:rPr>
        <w:t>usually</w:t>
      </w:r>
      <w:r w:rsidRPr="00AD3D68">
        <w:rPr>
          <w:rFonts w:ascii="Arial" w:hAnsi="Arial" w:cs="Arial"/>
        </w:rPr>
        <w:t xml:space="preserve"> take</w:t>
      </w:r>
      <w:r>
        <w:rPr>
          <w:rFonts w:ascii="Arial" w:hAnsi="Arial" w:cs="Arial"/>
        </w:rPr>
        <w:t>s</w:t>
      </w:r>
      <w:r w:rsidRPr="00AD3D68">
        <w:rPr>
          <w:rFonts w:ascii="Arial" w:hAnsi="Arial" w:cs="Arial"/>
        </w:rPr>
        <w:t xml:space="preserve"> one day to complete.  </w:t>
      </w:r>
      <w:r w:rsidR="004620CD">
        <w:rPr>
          <w:rFonts w:ascii="Arial" w:hAnsi="Arial" w:cs="Arial"/>
        </w:rPr>
        <w:t>It will be</w:t>
      </w:r>
      <w:r>
        <w:rPr>
          <w:rFonts w:ascii="Arial" w:hAnsi="Arial" w:cs="Arial"/>
        </w:rPr>
        <w:t xml:space="preserve"> conducted with the firm’s MLRO and/or MLCP and therefore it is important that this person is always available during the duration of the visit. </w:t>
      </w:r>
      <w:r w:rsidR="004620CD">
        <w:rPr>
          <w:rFonts w:ascii="Arial" w:hAnsi="Arial" w:cs="Arial"/>
        </w:rPr>
        <w:t xml:space="preserve">There will also be the need to interview an employee of the firm. </w:t>
      </w:r>
    </w:p>
    <w:p w14:paraId="7C6691DB" w14:textId="77777777" w:rsidR="004620CD" w:rsidRDefault="004620CD" w:rsidP="00EF2A1A">
      <w:pPr>
        <w:spacing w:after="0"/>
        <w:rPr>
          <w:rFonts w:ascii="Arial" w:hAnsi="Arial" w:cs="Arial"/>
        </w:rPr>
      </w:pPr>
    </w:p>
    <w:p w14:paraId="370966DA" w14:textId="24EA5A2D" w:rsidR="004620CD" w:rsidRDefault="00EF2A1A" w:rsidP="00EF2A1A">
      <w:pPr>
        <w:spacing w:after="0"/>
        <w:rPr>
          <w:rFonts w:ascii="Arial" w:hAnsi="Arial" w:cs="Arial"/>
        </w:rPr>
      </w:pPr>
      <w:r w:rsidRPr="00AD3D68">
        <w:rPr>
          <w:rFonts w:ascii="Arial" w:hAnsi="Arial" w:cs="Arial"/>
        </w:rPr>
        <w:t xml:space="preserve">The </w:t>
      </w:r>
      <w:r w:rsidRPr="00E1595B">
        <w:rPr>
          <w:rFonts w:ascii="Arial" w:hAnsi="Arial" w:cs="Arial"/>
          <w:b/>
          <w:bCs/>
        </w:rPr>
        <w:t xml:space="preserve">desktop </w:t>
      </w:r>
      <w:r w:rsidRPr="00AD3D68">
        <w:rPr>
          <w:rFonts w:ascii="Arial" w:hAnsi="Arial" w:cs="Arial"/>
        </w:rPr>
        <w:t xml:space="preserve">review </w:t>
      </w:r>
      <w:r>
        <w:rPr>
          <w:rFonts w:ascii="Arial" w:hAnsi="Arial" w:cs="Arial"/>
        </w:rPr>
        <w:t>is conducted</w:t>
      </w:r>
      <w:r w:rsidRPr="00AD3D68">
        <w:rPr>
          <w:rFonts w:ascii="Arial" w:hAnsi="Arial" w:cs="Arial"/>
        </w:rPr>
        <w:t xml:space="preserve"> remotely and via</w:t>
      </w:r>
      <w:r w:rsidR="007B7047">
        <w:rPr>
          <w:rFonts w:ascii="Arial" w:hAnsi="Arial" w:cs="Arial"/>
        </w:rPr>
        <w:t xml:space="preserve"> </w:t>
      </w:r>
      <w:r w:rsidRPr="00AD3D68">
        <w:rPr>
          <w:rFonts w:ascii="Arial" w:hAnsi="Arial" w:cs="Arial"/>
        </w:rPr>
        <w:t>telephone</w:t>
      </w:r>
      <w:r w:rsidR="004620CD">
        <w:rPr>
          <w:rFonts w:ascii="Arial" w:hAnsi="Arial" w:cs="Arial"/>
        </w:rPr>
        <w:t>. It will require a</w:t>
      </w:r>
      <w:r w:rsidR="00194FC4">
        <w:rPr>
          <w:rFonts w:ascii="Arial" w:hAnsi="Arial" w:cs="Arial"/>
        </w:rPr>
        <w:t xml:space="preserve"> telephone</w:t>
      </w:r>
      <w:r w:rsidR="004620CD">
        <w:rPr>
          <w:rFonts w:ascii="Arial" w:hAnsi="Arial" w:cs="Arial"/>
        </w:rPr>
        <w:t xml:space="preserve"> interview with the MLRO and/or MLCP and also an employee of the firm</w:t>
      </w:r>
      <w:r w:rsidRPr="00AD3D68">
        <w:rPr>
          <w:rFonts w:ascii="Arial" w:hAnsi="Arial" w:cs="Arial"/>
        </w:rPr>
        <w:t>.</w:t>
      </w:r>
      <w:r w:rsidR="007B7047">
        <w:rPr>
          <w:rFonts w:ascii="Arial" w:hAnsi="Arial" w:cs="Arial"/>
        </w:rPr>
        <w:t xml:space="preserve"> </w:t>
      </w:r>
    </w:p>
    <w:p w14:paraId="7B9A623C" w14:textId="77777777" w:rsidR="004620CD" w:rsidRDefault="004620CD" w:rsidP="00EF2A1A">
      <w:pPr>
        <w:spacing w:after="0"/>
        <w:rPr>
          <w:rFonts w:ascii="Arial" w:hAnsi="Arial" w:cs="Arial"/>
        </w:rPr>
      </w:pPr>
    </w:p>
    <w:p w14:paraId="1399C655" w14:textId="30054E0E" w:rsidR="00EF2A1A" w:rsidRPr="00AD3D68" w:rsidRDefault="005E0D3E" w:rsidP="00EF2A1A">
      <w:pPr>
        <w:spacing w:after="0"/>
        <w:rPr>
          <w:rFonts w:ascii="Arial" w:hAnsi="Arial" w:cs="Arial"/>
        </w:rPr>
      </w:pPr>
      <w:r>
        <w:rPr>
          <w:rFonts w:ascii="Arial" w:hAnsi="Arial" w:cs="Arial"/>
        </w:rPr>
        <w:t>B</w:t>
      </w:r>
      <w:r w:rsidR="007B7047">
        <w:rPr>
          <w:rFonts w:ascii="Arial" w:hAnsi="Arial" w:cs="Arial"/>
        </w:rPr>
        <w:t xml:space="preserve">oth </w:t>
      </w:r>
      <w:r w:rsidR="00194FC4">
        <w:rPr>
          <w:rFonts w:ascii="Arial" w:hAnsi="Arial" w:cs="Arial"/>
        </w:rPr>
        <w:t>method</w:t>
      </w:r>
      <w:r w:rsidR="007B7047">
        <w:rPr>
          <w:rFonts w:ascii="Arial" w:hAnsi="Arial" w:cs="Arial"/>
        </w:rPr>
        <w:t>s of AML review require firms to submit</w:t>
      </w:r>
      <w:r>
        <w:rPr>
          <w:rFonts w:ascii="Arial" w:hAnsi="Arial" w:cs="Arial"/>
        </w:rPr>
        <w:t xml:space="preserve"> records and </w:t>
      </w:r>
      <w:r w:rsidR="007B7047">
        <w:rPr>
          <w:rFonts w:ascii="Arial" w:hAnsi="Arial" w:cs="Arial"/>
        </w:rPr>
        <w:t>document</w:t>
      </w:r>
      <w:r>
        <w:rPr>
          <w:rFonts w:ascii="Arial" w:hAnsi="Arial" w:cs="Arial"/>
        </w:rPr>
        <w:t>ation to the AML supervisory team ahead of the review.</w:t>
      </w:r>
      <w:r w:rsidR="00EF2A1A">
        <w:rPr>
          <w:rFonts w:ascii="Arial" w:hAnsi="Arial" w:cs="Arial"/>
        </w:rPr>
        <w:t xml:space="preserve">  </w:t>
      </w:r>
    </w:p>
    <w:p w14:paraId="3EEFE10F" w14:textId="6CEF39B7" w:rsidR="00EF2A1A" w:rsidRDefault="00EF2A1A" w:rsidP="002672C0">
      <w:pPr>
        <w:spacing w:after="0"/>
        <w:rPr>
          <w:rFonts w:ascii="Arial" w:hAnsi="Arial" w:cs="Arial"/>
        </w:rPr>
      </w:pPr>
    </w:p>
    <w:p w14:paraId="4AE1744C" w14:textId="77777777" w:rsidR="00B37B2D" w:rsidRDefault="00CB5923" w:rsidP="00CB5923">
      <w:pPr>
        <w:spacing w:after="0"/>
        <w:rPr>
          <w:rFonts w:ascii="Arial" w:hAnsi="Arial" w:cs="Arial"/>
        </w:rPr>
      </w:pPr>
      <w:r w:rsidRPr="00AD3D68">
        <w:rPr>
          <w:rFonts w:ascii="Arial" w:hAnsi="Arial" w:cs="Arial"/>
        </w:rPr>
        <w:t xml:space="preserve">The AML reviews are designed to test the design, implementation and operating effectiveness of the </w:t>
      </w:r>
      <w:r>
        <w:rPr>
          <w:rFonts w:ascii="Arial" w:hAnsi="Arial" w:cs="Arial"/>
        </w:rPr>
        <w:t>supervised</w:t>
      </w:r>
      <w:r w:rsidRPr="00AD3D68">
        <w:rPr>
          <w:rFonts w:ascii="Arial" w:hAnsi="Arial" w:cs="Arial"/>
        </w:rPr>
        <w:t xml:space="preserve"> firm’s AML policies, procedures and controls.  The ACCA </w:t>
      </w:r>
      <w:r>
        <w:rPr>
          <w:rFonts w:ascii="Arial" w:hAnsi="Arial" w:cs="Arial"/>
        </w:rPr>
        <w:t xml:space="preserve">AML </w:t>
      </w:r>
      <w:r w:rsidRPr="00AD3D68">
        <w:rPr>
          <w:rFonts w:ascii="Arial" w:hAnsi="Arial" w:cs="Arial"/>
        </w:rPr>
        <w:t>supervisor</w:t>
      </w:r>
      <w:r>
        <w:rPr>
          <w:rFonts w:ascii="Arial" w:hAnsi="Arial" w:cs="Arial"/>
        </w:rPr>
        <w:t>y</w:t>
      </w:r>
      <w:r w:rsidRPr="00AD3D68">
        <w:rPr>
          <w:rFonts w:ascii="Arial" w:hAnsi="Arial" w:cs="Arial"/>
        </w:rPr>
        <w:t xml:space="preserve"> team will review or test AML controls </w:t>
      </w:r>
      <w:r>
        <w:rPr>
          <w:rFonts w:ascii="Arial" w:hAnsi="Arial" w:cs="Arial"/>
        </w:rPr>
        <w:t>such as;</w:t>
      </w:r>
    </w:p>
    <w:p w14:paraId="234019E9" w14:textId="097E3C71" w:rsidR="00CB5923" w:rsidRPr="00AD3D68" w:rsidRDefault="00CB5923" w:rsidP="00CB5923">
      <w:pPr>
        <w:spacing w:after="0"/>
        <w:rPr>
          <w:rFonts w:ascii="Arial" w:hAnsi="Arial" w:cs="Arial"/>
        </w:rPr>
      </w:pPr>
    </w:p>
    <w:p w14:paraId="6D2ED104" w14:textId="00D101FB" w:rsidR="00CB5923" w:rsidRPr="00AD3D68" w:rsidRDefault="00CB5923" w:rsidP="00CB5923">
      <w:pPr>
        <w:pStyle w:val="ListParagraph"/>
        <w:numPr>
          <w:ilvl w:val="0"/>
          <w:numId w:val="5"/>
        </w:numPr>
        <w:spacing w:after="0"/>
        <w:rPr>
          <w:rFonts w:ascii="Arial" w:hAnsi="Arial" w:cs="Arial"/>
        </w:rPr>
      </w:pPr>
      <w:r>
        <w:rPr>
          <w:rFonts w:ascii="Arial" w:hAnsi="Arial" w:cs="Arial"/>
        </w:rPr>
        <w:t>Checking t</w:t>
      </w:r>
      <w:r w:rsidRPr="00AD3D68">
        <w:rPr>
          <w:rFonts w:ascii="Arial" w:hAnsi="Arial" w:cs="Arial"/>
        </w:rPr>
        <w:t xml:space="preserve">he </w:t>
      </w:r>
      <w:r w:rsidR="00881C95">
        <w:rPr>
          <w:rFonts w:ascii="Arial" w:hAnsi="Arial" w:cs="Arial"/>
        </w:rPr>
        <w:t xml:space="preserve">supervised </w:t>
      </w:r>
      <w:r w:rsidRPr="00AD3D68">
        <w:rPr>
          <w:rFonts w:ascii="Arial" w:hAnsi="Arial" w:cs="Arial"/>
        </w:rPr>
        <w:t xml:space="preserve">firms </w:t>
      </w:r>
      <w:r w:rsidR="00881C95">
        <w:rPr>
          <w:rFonts w:ascii="Arial" w:hAnsi="Arial" w:cs="Arial"/>
        </w:rPr>
        <w:t>‘</w:t>
      </w:r>
      <w:r w:rsidR="00355064">
        <w:rPr>
          <w:rFonts w:ascii="Arial" w:hAnsi="Arial" w:cs="Arial"/>
        </w:rPr>
        <w:t>f</w:t>
      </w:r>
      <w:r w:rsidR="00881C95">
        <w:rPr>
          <w:rFonts w:ascii="Arial" w:hAnsi="Arial" w:cs="Arial"/>
        </w:rPr>
        <w:t xml:space="preserve">irm </w:t>
      </w:r>
      <w:r w:rsidR="00355064">
        <w:rPr>
          <w:rFonts w:ascii="Arial" w:hAnsi="Arial" w:cs="Arial"/>
        </w:rPr>
        <w:t>w</w:t>
      </w:r>
      <w:r w:rsidR="00881C95">
        <w:rPr>
          <w:rFonts w:ascii="Arial" w:hAnsi="Arial" w:cs="Arial"/>
        </w:rPr>
        <w:t xml:space="preserve">ide </w:t>
      </w:r>
      <w:r w:rsidR="00355064">
        <w:rPr>
          <w:rFonts w:ascii="Arial" w:hAnsi="Arial" w:cs="Arial"/>
        </w:rPr>
        <w:t>r</w:t>
      </w:r>
      <w:r w:rsidRPr="00AD3D68">
        <w:rPr>
          <w:rFonts w:ascii="Arial" w:hAnsi="Arial" w:cs="Arial"/>
        </w:rPr>
        <w:t xml:space="preserve">isk </w:t>
      </w:r>
      <w:r w:rsidR="00355064">
        <w:rPr>
          <w:rFonts w:ascii="Arial" w:hAnsi="Arial" w:cs="Arial"/>
        </w:rPr>
        <w:t>a</w:t>
      </w:r>
      <w:r w:rsidRPr="00AD3D68">
        <w:rPr>
          <w:rFonts w:ascii="Arial" w:hAnsi="Arial" w:cs="Arial"/>
        </w:rPr>
        <w:t>ssessment</w:t>
      </w:r>
      <w:r w:rsidR="00881C95">
        <w:rPr>
          <w:rFonts w:ascii="Arial" w:hAnsi="Arial" w:cs="Arial"/>
        </w:rPr>
        <w:t>’</w:t>
      </w:r>
    </w:p>
    <w:p w14:paraId="38156A55" w14:textId="369A4817" w:rsidR="00CB5923" w:rsidRDefault="00CB5923" w:rsidP="00CB5923">
      <w:pPr>
        <w:pStyle w:val="ListParagraph"/>
        <w:numPr>
          <w:ilvl w:val="0"/>
          <w:numId w:val="5"/>
        </w:numPr>
        <w:spacing w:after="0"/>
        <w:rPr>
          <w:rFonts w:ascii="Arial" w:hAnsi="Arial" w:cs="Arial"/>
        </w:rPr>
      </w:pPr>
      <w:r>
        <w:rPr>
          <w:rFonts w:ascii="Arial" w:hAnsi="Arial" w:cs="Arial"/>
        </w:rPr>
        <w:t>Reviewing documented MLTF</w:t>
      </w:r>
      <w:r w:rsidRPr="00AD3D68">
        <w:rPr>
          <w:rFonts w:ascii="Arial" w:hAnsi="Arial" w:cs="Arial"/>
        </w:rPr>
        <w:t xml:space="preserve"> policies and procedures </w:t>
      </w:r>
    </w:p>
    <w:p w14:paraId="57CC5E50" w14:textId="5E318F69" w:rsidR="005B79CB" w:rsidRDefault="005B79CB" w:rsidP="00CB5923">
      <w:pPr>
        <w:pStyle w:val="ListParagraph"/>
        <w:numPr>
          <w:ilvl w:val="0"/>
          <w:numId w:val="5"/>
        </w:numPr>
        <w:spacing w:after="0"/>
        <w:rPr>
          <w:rFonts w:ascii="Arial" w:hAnsi="Arial" w:cs="Arial"/>
        </w:rPr>
      </w:pPr>
      <w:r>
        <w:rPr>
          <w:rFonts w:ascii="Arial" w:hAnsi="Arial" w:cs="Arial"/>
        </w:rPr>
        <w:t xml:space="preserve">Reviewing the </w:t>
      </w:r>
      <w:r w:rsidR="00AF262E">
        <w:rPr>
          <w:rFonts w:ascii="Arial" w:hAnsi="Arial" w:cs="Arial"/>
        </w:rPr>
        <w:t xml:space="preserve">RBO procedures for new client onboarding </w:t>
      </w:r>
    </w:p>
    <w:p w14:paraId="289D1DAA" w14:textId="77777777" w:rsidR="00CB5923" w:rsidRDefault="00CB5923" w:rsidP="00CB5923">
      <w:pPr>
        <w:pStyle w:val="ListParagraph"/>
        <w:numPr>
          <w:ilvl w:val="0"/>
          <w:numId w:val="5"/>
        </w:numPr>
        <w:spacing w:after="0"/>
        <w:rPr>
          <w:rFonts w:ascii="Arial" w:hAnsi="Arial" w:cs="Arial"/>
        </w:rPr>
      </w:pPr>
      <w:r>
        <w:rPr>
          <w:rFonts w:ascii="Arial" w:hAnsi="Arial" w:cs="Arial"/>
        </w:rPr>
        <w:t xml:space="preserve">Checking client risk assessment processes e.g. for </w:t>
      </w:r>
      <w:r w:rsidRPr="00F371F1">
        <w:rPr>
          <w:rFonts w:ascii="Arial" w:hAnsi="Arial" w:cs="Arial"/>
        </w:rPr>
        <w:t>consisten</w:t>
      </w:r>
      <w:r>
        <w:rPr>
          <w:rFonts w:ascii="Arial" w:hAnsi="Arial" w:cs="Arial"/>
        </w:rPr>
        <w:t>cy</w:t>
      </w:r>
      <w:r w:rsidRPr="00F371F1">
        <w:rPr>
          <w:rFonts w:ascii="Arial" w:hAnsi="Arial" w:cs="Arial"/>
        </w:rPr>
        <w:t xml:space="preserve"> and document</w:t>
      </w:r>
      <w:r>
        <w:rPr>
          <w:rFonts w:ascii="Arial" w:hAnsi="Arial" w:cs="Arial"/>
        </w:rPr>
        <w:t xml:space="preserve">ation of client </w:t>
      </w:r>
      <w:r w:rsidRPr="00F371F1">
        <w:rPr>
          <w:rFonts w:ascii="Arial" w:hAnsi="Arial" w:cs="Arial"/>
        </w:rPr>
        <w:t>risk</w:t>
      </w:r>
      <w:r>
        <w:rPr>
          <w:rFonts w:ascii="Arial" w:hAnsi="Arial" w:cs="Arial"/>
        </w:rPr>
        <w:t xml:space="preserve"> ratings</w:t>
      </w:r>
      <w:r w:rsidRPr="00F371F1">
        <w:rPr>
          <w:rFonts w:ascii="Arial" w:hAnsi="Arial" w:cs="Arial"/>
        </w:rPr>
        <w:t>.</w:t>
      </w:r>
    </w:p>
    <w:p w14:paraId="2E87D3FB" w14:textId="61549730" w:rsidR="00CB5923" w:rsidRPr="00AD3D68" w:rsidRDefault="00CB5923" w:rsidP="00CB5923">
      <w:pPr>
        <w:pStyle w:val="ListParagraph"/>
        <w:numPr>
          <w:ilvl w:val="0"/>
          <w:numId w:val="5"/>
        </w:numPr>
        <w:spacing w:after="0"/>
        <w:rPr>
          <w:rFonts w:ascii="Arial" w:hAnsi="Arial" w:cs="Arial"/>
        </w:rPr>
      </w:pPr>
      <w:r>
        <w:rPr>
          <w:rFonts w:ascii="Arial" w:hAnsi="Arial" w:cs="Arial"/>
        </w:rPr>
        <w:t>Checking c</w:t>
      </w:r>
      <w:r w:rsidRPr="00AD3D68">
        <w:rPr>
          <w:rFonts w:ascii="Arial" w:hAnsi="Arial" w:cs="Arial"/>
        </w:rPr>
        <w:t>lient due diligence (CDD)</w:t>
      </w:r>
      <w:r>
        <w:rPr>
          <w:rFonts w:ascii="Arial" w:hAnsi="Arial" w:cs="Arial"/>
        </w:rPr>
        <w:t xml:space="preserve">, </w:t>
      </w:r>
      <w:r w:rsidR="00881C95">
        <w:rPr>
          <w:rFonts w:ascii="Arial" w:hAnsi="Arial" w:cs="Arial"/>
        </w:rPr>
        <w:t>e</w:t>
      </w:r>
      <w:r>
        <w:rPr>
          <w:rFonts w:ascii="Arial" w:hAnsi="Arial" w:cs="Arial"/>
        </w:rPr>
        <w:t xml:space="preserve">nhanced </w:t>
      </w:r>
      <w:r w:rsidR="00881C95">
        <w:rPr>
          <w:rFonts w:ascii="Arial" w:hAnsi="Arial" w:cs="Arial"/>
        </w:rPr>
        <w:t>d</w:t>
      </w:r>
      <w:r>
        <w:rPr>
          <w:rFonts w:ascii="Arial" w:hAnsi="Arial" w:cs="Arial"/>
        </w:rPr>
        <w:t xml:space="preserve">ue </w:t>
      </w:r>
      <w:r w:rsidR="00881C95">
        <w:rPr>
          <w:rFonts w:ascii="Arial" w:hAnsi="Arial" w:cs="Arial"/>
        </w:rPr>
        <w:t>d</w:t>
      </w:r>
      <w:r>
        <w:rPr>
          <w:rFonts w:ascii="Arial" w:hAnsi="Arial" w:cs="Arial"/>
        </w:rPr>
        <w:t xml:space="preserve">iligence (EDD) and on-going monitoring procedures including a review of a sample of client files e.g. for evidence of relevant and up to date </w:t>
      </w:r>
      <w:r w:rsidR="00881C95">
        <w:rPr>
          <w:rFonts w:ascii="Arial" w:hAnsi="Arial" w:cs="Arial"/>
        </w:rPr>
        <w:t>know your client (</w:t>
      </w:r>
      <w:r>
        <w:rPr>
          <w:rFonts w:ascii="Arial" w:hAnsi="Arial" w:cs="Arial"/>
        </w:rPr>
        <w:t>KYC</w:t>
      </w:r>
      <w:r w:rsidR="00881C95">
        <w:rPr>
          <w:rFonts w:ascii="Arial" w:hAnsi="Arial" w:cs="Arial"/>
        </w:rPr>
        <w:t>)</w:t>
      </w:r>
      <w:r>
        <w:rPr>
          <w:rFonts w:ascii="Arial" w:hAnsi="Arial" w:cs="Arial"/>
        </w:rPr>
        <w:t xml:space="preserve"> information and </w:t>
      </w:r>
      <w:r w:rsidR="00881C95">
        <w:rPr>
          <w:rFonts w:ascii="Arial" w:hAnsi="Arial" w:cs="Arial"/>
        </w:rPr>
        <w:t xml:space="preserve">evidence of the </w:t>
      </w:r>
      <w:r>
        <w:rPr>
          <w:rFonts w:ascii="Arial" w:hAnsi="Arial" w:cs="Arial"/>
        </w:rPr>
        <w:t>client risk assessment.</w:t>
      </w:r>
    </w:p>
    <w:p w14:paraId="2BDC1A21" w14:textId="77777777" w:rsidR="00CB5923" w:rsidRPr="00AD3D68" w:rsidRDefault="00CB5923" w:rsidP="00CB5923">
      <w:pPr>
        <w:pStyle w:val="ListParagraph"/>
        <w:numPr>
          <w:ilvl w:val="0"/>
          <w:numId w:val="5"/>
        </w:numPr>
        <w:spacing w:after="0"/>
        <w:rPr>
          <w:rFonts w:ascii="Arial" w:hAnsi="Arial" w:cs="Arial"/>
        </w:rPr>
      </w:pPr>
      <w:r>
        <w:rPr>
          <w:rFonts w:ascii="Arial" w:hAnsi="Arial" w:cs="Arial"/>
        </w:rPr>
        <w:t>Checking the firm’s process for i</w:t>
      </w:r>
      <w:r w:rsidRPr="00AD3D68">
        <w:rPr>
          <w:rFonts w:ascii="Arial" w:hAnsi="Arial" w:cs="Arial"/>
        </w:rPr>
        <w:t>dentifying and reporting suspicious activity/transactions</w:t>
      </w:r>
      <w:r>
        <w:rPr>
          <w:rFonts w:ascii="Arial" w:hAnsi="Arial" w:cs="Arial"/>
        </w:rPr>
        <w:t xml:space="preserve"> including records of internal and external SAR/STR for accuracy and completeness.</w:t>
      </w:r>
    </w:p>
    <w:p w14:paraId="35E32494" w14:textId="77777777" w:rsidR="00CB5923" w:rsidRPr="00AD3D68" w:rsidRDefault="00CB5923" w:rsidP="00CB5923">
      <w:pPr>
        <w:pStyle w:val="ListParagraph"/>
        <w:numPr>
          <w:ilvl w:val="0"/>
          <w:numId w:val="5"/>
        </w:numPr>
        <w:spacing w:after="0"/>
        <w:rPr>
          <w:rFonts w:ascii="Arial" w:hAnsi="Arial" w:cs="Arial"/>
        </w:rPr>
      </w:pPr>
      <w:r>
        <w:rPr>
          <w:rFonts w:ascii="Arial" w:hAnsi="Arial" w:cs="Arial"/>
        </w:rPr>
        <w:t>Checking s</w:t>
      </w:r>
      <w:r w:rsidRPr="00AD3D68">
        <w:rPr>
          <w:rFonts w:ascii="Arial" w:hAnsi="Arial" w:cs="Arial"/>
        </w:rPr>
        <w:t>taff awareness</w:t>
      </w:r>
      <w:r>
        <w:rPr>
          <w:rFonts w:ascii="Arial" w:hAnsi="Arial" w:cs="Arial"/>
        </w:rPr>
        <w:t xml:space="preserve"> (including evidence of their understanding of money laundering regulations and how to recognise red flag indicators and deal with suspicious activities/transactions)</w:t>
      </w:r>
      <w:r w:rsidRPr="00AD3D68">
        <w:rPr>
          <w:rFonts w:ascii="Arial" w:hAnsi="Arial" w:cs="Arial"/>
        </w:rPr>
        <w:t xml:space="preserve"> and </w:t>
      </w:r>
      <w:r>
        <w:rPr>
          <w:rFonts w:ascii="Arial" w:hAnsi="Arial" w:cs="Arial"/>
        </w:rPr>
        <w:t xml:space="preserve">AML </w:t>
      </w:r>
      <w:r w:rsidRPr="00AD3D68">
        <w:rPr>
          <w:rFonts w:ascii="Arial" w:hAnsi="Arial" w:cs="Arial"/>
        </w:rPr>
        <w:t>training</w:t>
      </w:r>
      <w:r>
        <w:rPr>
          <w:rFonts w:ascii="Arial" w:hAnsi="Arial" w:cs="Arial"/>
        </w:rPr>
        <w:t xml:space="preserve"> records and materials to ensure they are up to date and cover appropriate topics </w:t>
      </w:r>
    </w:p>
    <w:p w14:paraId="65FF0B45" w14:textId="77777777" w:rsidR="00CB5923" w:rsidRPr="00AD3D68" w:rsidRDefault="00CB5923" w:rsidP="00CB5923">
      <w:pPr>
        <w:pStyle w:val="ListParagraph"/>
        <w:numPr>
          <w:ilvl w:val="0"/>
          <w:numId w:val="5"/>
        </w:numPr>
        <w:spacing w:after="0"/>
        <w:rPr>
          <w:rFonts w:ascii="Arial" w:hAnsi="Arial" w:cs="Arial"/>
        </w:rPr>
      </w:pPr>
      <w:r>
        <w:rPr>
          <w:rFonts w:ascii="Arial" w:hAnsi="Arial" w:cs="Arial"/>
        </w:rPr>
        <w:t>Checking r</w:t>
      </w:r>
      <w:r w:rsidRPr="00AD3D68">
        <w:rPr>
          <w:rFonts w:ascii="Arial" w:hAnsi="Arial" w:cs="Arial"/>
        </w:rPr>
        <w:t>ecord keeping</w:t>
      </w:r>
      <w:r>
        <w:rPr>
          <w:rFonts w:ascii="Arial" w:hAnsi="Arial" w:cs="Arial"/>
        </w:rPr>
        <w:t xml:space="preserve"> systems, procedures and controls</w:t>
      </w:r>
    </w:p>
    <w:p w14:paraId="0460372D" w14:textId="0538FDCF" w:rsidR="00CB5923" w:rsidRPr="00AD3D68" w:rsidRDefault="00CB5923" w:rsidP="00CB5923">
      <w:pPr>
        <w:pStyle w:val="ListParagraph"/>
        <w:numPr>
          <w:ilvl w:val="0"/>
          <w:numId w:val="5"/>
        </w:numPr>
        <w:spacing w:after="0"/>
        <w:rPr>
          <w:rFonts w:ascii="Arial" w:hAnsi="Arial" w:cs="Arial"/>
        </w:rPr>
      </w:pPr>
      <w:r>
        <w:rPr>
          <w:rFonts w:ascii="Arial" w:hAnsi="Arial" w:cs="Arial"/>
        </w:rPr>
        <w:t>Checking MLRO</w:t>
      </w:r>
      <w:r w:rsidR="00881C95">
        <w:rPr>
          <w:rFonts w:ascii="Arial" w:hAnsi="Arial" w:cs="Arial"/>
        </w:rPr>
        <w:t xml:space="preserve"> </w:t>
      </w:r>
      <w:r>
        <w:rPr>
          <w:rFonts w:ascii="Arial" w:hAnsi="Arial" w:cs="Arial"/>
        </w:rPr>
        <w:t>independent reviews of MLTF systems, procedures and controls</w:t>
      </w:r>
    </w:p>
    <w:p w14:paraId="7A317C68" w14:textId="77777777" w:rsidR="00CB5923" w:rsidRPr="00AD3D68" w:rsidRDefault="00CB5923" w:rsidP="00CB5923">
      <w:pPr>
        <w:spacing w:after="0"/>
        <w:rPr>
          <w:rFonts w:ascii="Arial" w:hAnsi="Arial" w:cs="Arial"/>
        </w:rPr>
      </w:pPr>
    </w:p>
    <w:p w14:paraId="6A928030" w14:textId="0E9498D7" w:rsidR="0022727E" w:rsidRPr="00AD3D68" w:rsidRDefault="005E0D3E" w:rsidP="002672C0">
      <w:pPr>
        <w:spacing w:after="0"/>
        <w:rPr>
          <w:rFonts w:ascii="Arial" w:hAnsi="Arial" w:cs="Arial"/>
        </w:rPr>
      </w:pPr>
      <w:r>
        <w:rPr>
          <w:rFonts w:ascii="Arial" w:hAnsi="Arial" w:cs="Arial"/>
        </w:rPr>
        <w:t>Prior to a firms</w:t>
      </w:r>
      <w:r w:rsidR="0022727E" w:rsidRPr="00AD3D68">
        <w:rPr>
          <w:rFonts w:ascii="Arial" w:hAnsi="Arial" w:cs="Arial"/>
        </w:rPr>
        <w:t xml:space="preserve"> </w:t>
      </w:r>
      <w:r w:rsidR="006E0CA8" w:rsidRPr="00AD3D68">
        <w:rPr>
          <w:rFonts w:ascii="Arial" w:hAnsi="Arial" w:cs="Arial"/>
        </w:rPr>
        <w:t>AML review</w:t>
      </w:r>
      <w:r w:rsidR="003D5D6F" w:rsidRPr="00AD3D68">
        <w:rPr>
          <w:rFonts w:ascii="Arial" w:hAnsi="Arial" w:cs="Arial"/>
        </w:rPr>
        <w:t xml:space="preserve">, </w:t>
      </w:r>
      <w:r w:rsidR="00A54A48" w:rsidRPr="00AD3D68">
        <w:rPr>
          <w:rFonts w:ascii="Arial" w:hAnsi="Arial" w:cs="Arial"/>
        </w:rPr>
        <w:t>a</w:t>
      </w:r>
      <w:r w:rsidR="00A54A48">
        <w:rPr>
          <w:rFonts w:ascii="Arial" w:hAnsi="Arial" w:cs="Arial"/>
        </w:rPr>
        <w:t xml:space="preserve"> member of the </w:t>
      </w:r>
      <w:r>
        <w:rPr>
          <w:rFonts w:ascii="Arial" w:hAnsi="Arial" w:cs="Arial"/>
        </w:rPr>
        <w:t xml:space="preserve">AML </w:t>
      </w:r>
      <w:r w:rsidR="00A54A48">
        <w:rPr>
          <w:rFonts w:ascii="Arial" w:hAnsi="Arial" w:cs="Arial"/>
        </w:rPr>
        <w:t>supervisory team will contact the firm by phone to arrange the review</w:t>
      </w:r>
      <w:r w:rsidR="00742D03" w:rsidRPr="00AD3D68">
        <w:rPr>
          <w:rFonts w:ascii="Arial" w:hAnsi="Arial" w:cs="Arial"/>
        </w:rPr>
        <w:t xml:space="preserve">. </w:t>
      </w:r>
    </w:p>
    <w:p w14:paraId="5A89DC74" w14:textId="1773A89E" w:rsidR="00654F78" w:rsidRPr="00AD3D68" w:rsidRDefault="00654F78" w:rsidP="002672C0">
      <w:pPr>
        <w:spacing w:after="0"/>
        <w:rPr>
          <w:rFonts w:ascii="Arial" w:hAnsi="Arial" w:cs="Arial"/>
        </w:rPr>
      </w:pPr>
    </w:p>
    <w:p w14:paraId="754412D9" w14:textId="02BB52FC" w:rsidR="00C8222A" w:rsidRDefault="005E0D3E" w:rsidP="00652968">
      <w:pPr>
        <w:spacing w:after="0"/>
        <w:rPr>
          <w:rFonts w:ascii="Arial" w:hAnsi="Arial" w:cs="Arial"/>
        </w:rPr>
      </w:pPr>
      <w:r>
        <w:rPr>
          <w:rFonts w:ascii="Arial" w:hAnsi="Arial" w:cs="Arial"/>
        </w:rPr>
        <w:t xml:space="preserve">Following the telephone call </w:t>
      </w:r>
      <w:r w:rsidR="007471B2">
        <w:rPr>
          <w:rFonts w:ascii="Arial" w:hAnsi="Arial" w:cs="Arial"/>
        </w:rPr>
        <w:t xml:space="preserve">the </w:t>
      </w:r>
      <w:r w:rsidR="00787072">
        <w:rPr>
          <w:rFonts w:ascii="Arial" w:hAnsi="Arial" w:cs="Arial"/>
        </w:rPr>
        <w:t xml:space="preserve">ACCA </w:t>
      </w:r>
      <w:r w:rsidR="007471B2">
        <w:rPr>
          <w:rFonts w:ascii="Arial" w:hAnsi="Arial" w:cs="Arial"/>
        </w:rPr>
        <w:t xml:space="preserve">supervisory team will write to </w:t>
      </w:r>
      <w:r w:rsidR="00D10FF0">
        <w:rPr>
          <w:rFonts w:ascii="Arial" w:hAnsi="Arial" w:cs="Arial"/>
        </w:rPr>
        <w:t>the firm</w:t>
      </w:r>
      <w:r w:rsidR="007471B2">
        <w:rPr>
          <w:rFonts w:ascii="Arial" w:hAnsi="Arial" w:cs="Arial"/>
        </w:rPr>
        <w:t xml:space="preserve"> </w:t>
      </w:r>
      <w:r w:rsidR="00120779">
        <w:rPr>
          <w:rFonts w:ascii="Arial" w:hAnsi="Arial" w:cs="Arial"/>
        </w:rPr>
        <w:t>to</w:t>
      </w:r>
      <w:r w:rsidR="007471B2">
        <w:rPr>
          <w:rFonts w:ascii="Arial" w:hAnsi="Arial" w:cs="Arial"/>
        </w:rPr>
        <w:t xml:space="preserve"> </w:t>
      </w:r>
      <w:r w:rsidR="00A36C8B">
        <w:rPr>
          <w:rFonts w:ascii="Arial" w:hAnsi="Arial" w:cs="Arial"/>
        </w:rPr>
        <w:t>co</w:t>
      </w:r>
      <w:r w:rsidR="007471B2">
        <w:rPr>
          <w:rFonts w:ascii="Arial" w:hAnsi="Arial" w:cs="Arial"/>
        </w:rPr>
        <w:t>nf</w:t>
      </w:r>
      <w:r w:rsidR="00A36C8B">
        <w:rPr>
          <w:rFonts w:ascii="Arial" w:hAnsi="Arial" w:cs="Arial"/>
        </w:rPr>
        <w:t>i</w:t>
      </w:r>
      <w:r w:rsidR="007471B2">
        <w:rPr>
          <w:rFonts w:ascii="Arial" w:hAnsi="Arial" w:cs="Arial"/>
        </w:rPr>
        <w:t>rm</w:t>
      </w:r>
      <w:r w:rsidR="00120779">
        <w:rPr>
          <w:rFonts w:ascii="Arial" w:hAnsi="Arial" w:cs="Arial"/>
        </w:rPr>
        <w:t xml:space="preserve"> </w:t>
      </w:r>
      <w:r w:rsidR="00A36C8B">
        <w:rPr>
          <w:rFonts w:ascii="Arial" w:hAnsi="Arial" w:cs="Arial"/>
        </w:rPr>
        <w:t>the date and time of the review</w:t>
      </w:r>
      <w:r w:rsidR="00120779">
        <w:rPr>
          <w:rFonts w:ascii="Arial" w:hAnsi="Arial" w:cs="Arial"/>
        </w:rPr>
        <w:t xml:space="preserve">, to </w:t>
      </w:r>
      <w:r w:rsidR="00211948">
        <w:rPr>
          <w:rFonts w:ascii="Arial" w:hAnsi="Arial" w:cs="Arial"/>
        </w:rPr>
        <w:t>explain</w:t>
      </w:r>
      <w:r w:rsidR="009D2A6F" w:rsidRPr="00AD3D68">
        <w:rPr>
          <w:rFonts w:ascii="Arial" w:hAnsi="Arial" w:cs="Arial"/>
        </w:rPr>
        <w:t xml:space="preserve"> what the visit is likely to entail and </w:t>
      </w:r>
      <w:r w:rsidR="00B20389">
        <w:rPr>
          <w:rFonts w:ascii="Arial" w:hAnsi="Arial" w:cs="Arial"/>
        </w:rPr>
        <w:t>to confirm</w:t>
      </w:r>
      <w:r w:rsidR="009D2A6F" w:rsidRPr="00AD3D68">
        <w:rPr>
          <w:rFonts w:ascii="Arial" w:hAnsi="Arial" w:cs="Arial"/>
        </w:rPr>
        <w:t xml:space="preserve"> the </w:t>
      </w:r>
      <w:r w:rsidR="00ED284B" w:rsidRPr="00AD3D68">
        <w:rPr>
          <w:rFonts w:ascii="Arial" w:hAnsi="Arial" w:cs="Arial"/>
        </w:rPr>
        <w:t xml:space="preserve">list of </w:t>
      </w:r>
      <w:r w:rsidR="00494990">
        <w:rPr>
          <w:rFonts w:ascii="Arial" w:hAnsi="Arial" w:cs="Arial"/>
        </w:rPr>
        <w:t xml:space="preserve">records and documents </w:t>
      </w:r>
      <w:r w:rsidR="009D2A6F" w:rsidRPr="00AD3D68">
        <w:rPr>
          <w:rFonts w:ascii="Arial" w:hAnsi="Arial" w:cs="Arial"/>
        </w:rPr>
        <w:t xml:space="preserve">that the firm should provide ahead of the </w:t>
      </w:r>
      <w:r w:rsidR="00ED284B" w:rsidRPr="00AD3D68">
        <w:rPr>
          <w:rFonts w:ascii="Arial" w:hAnsi="Arial" w:cs="Arial"/>
        </w:rPr>
        <w:t>review</w:t>
      </w:r>
      <w:r w:rsidR="009D2A6F" w:rsidRPr="00AD3D68">
        <w:rPr>
          <w:rFonts w:ascii="Arial" w:hAnsi="Arial" w:cs="Arial"/>
        </w:rPr>
        <w:t xml:space="preserve">. </w:t>
      </w:r>
    </w:p>
    <w:p w14:paraId="7B937AB9" w14:textId="77777777" w:rsidR="00C8222A" w:rsidRDefault="00C8222A" w:rsidP="00652968">
      <w:pPr>
        <w:spacing w:after="0"/>
        <w:rPr>
          <w:rFonts w:ascii="Arial" w:hAnsi="Arial" w:cs="Arial"/>
        </w:rPr>
      </w:pPr>
    </w:p>
    <w:p w14:paraId="5722740D" w14:textId="753E4A52" w:rsidR="00652968" w:rsidRPr="00AD3D68" w:rsidRDefault="0008023A" w:rsidP="00652968">
      <w:pPr>
        <w:spacing w:after="0"/>
        <w:rPr>
          <w:rFonts w:ascii="Arial" w:hAnsi="Arial" w:cs="Arial"/>
        </w:rPr>
      </w:pPr>
      <w:r w:rsidRPr="00AD3D68">
        <w:rPr>
          <w:rFonts w:ascii="Arial" w:hAnsi="Arial" w:cs="Arial"/>
        </w:rPr>
        <w:t xml:space="preserve">The firm </w:t>
      </w:r>
      <w:r w:rsidR="005E0D3E">
        <w:rPr>
          <w:rFonts w:ascii="Arial" w:hAnsi="Arial" w:cs="Arial"/>
        </w:rPr>
        <w:t>has</w:t>
      </w:r>
      <w:r w:rsidRPr="00AD3D68">
        <w:rPr>
          <w:rFonts w:ascii="Arial" w:hAnsi="Arial" w:cs="Arial"/>
        </w:rPr>
        <w:t xml:space="preserve"> 5 working days to submit all the information</w:t>
      </w:r>
      <w:r w:rsidR="005E0D3E">
        <w:rPr>
          <w:rFonts w:ascii="Arial" w:hAnsi="Arial" w:cs="Arial"/>
        </w:rPr>
        <w:t xml:space="preserve"> requested</w:t>
      </w:r>
      <w:r w:rsidRPr="00AD3D68">
        <w:rPr>
          <w:rFonts w:ascii="Arial" w:hAnsi="Arial" w:cs="Arial"/>
        </w:rPr>
        <w:t xml:space="preserve">. </w:t>
      </w:r>
      <w:r w:rsidR="00C87FD0" w:rsidRPr="00AD3D68">
        <w:rPr>
          <w:rFonts w:ascii="Arial" w:hAnsi="Arial" w:cs="Arial"/>
        </w:rPr>
        <w:t xml:space="preserve"> </w:t>
      </w:r>
    </w:p>
    <w:p w14:paraId="440442D3" w14:textId="29AAB79E" w:rsidR="005F5DF6" w:rsidRDefault="005F5DF6" w:rsidP="002672C0">
      <w:pPr>
        <w:spacing w:after="0"/>
        <w:rPr>
          <w:rFonts w:ascii="Arial" w:hAnsi="Arial" w:cs="Arial"/>
        </w:rPr>
      </w:pPr>
    </w:p>
    <w:p w14:paraId="50031805" w14:textId="606E9287" w:rsidR="00133419" w:rsidRDefault="00A530BE" w:rsidP="002672C0">
      <w:pPr>
        <w:spacing w:after="0"/>
        <w:rPr>
          <w:rFonts w:ascii="Arial" w:hAnsi="Arial" w:cs="Arial"/>
        </w:rPr>
      </w:pPr>
      <w:r>
        <w:rPr>
          <w:rFonts w:ascii="Arial" w:hAnsi="Arial" w:cs="Arial"/>
        </w:rPr>
        <w:t xml:space="preserve">The AML supervisory </w:t>
      </w:r>
      <w:r w:rsidR="00133419">
        <w:rPr>
          <w:rFonts w:ascii="Arial" w:hAnsi="Arial" w:cs="Arial"/>
        </w:rPr>
        <w:t xml:space="preserve">team will review and assess the records and documentation supplied ahead of conducting the onsite visit or telephone interviews. </w:t>
      </w:r>
    </w:p>
    <w:p w14:paraId="7776A5C0" w14:textId="77777777" w:rsidR="00133419" w:rsidRDefault="00133419" w:rsidP="002672C0">
      <w:pPr>
        <w:spacing w:after="0"/>
        <w:rPr>
          <w:rFonts w:ascii="Arial" w:hAnsi="Arial" w:cs="Arial"/>
        </w:rPr>
      </w:pPr>
    </w:p>
    <w:p w14:paraId="1552FF3E" w14:textId="1240CC0B" w:rsidR="00A530BE" w:rsidRDefault="00133419" w:rsidP="002672C0">
      <w:pPr>
        <w:spacing w:after="0"/>
        <w:rPr>
          <w:rFonts w:ascii="Arial" w:hAnsi="Arial" w:cs="Arial"/>
        </w:rPr>
      </w:pPr>
      <w:r>
        <w:rPr>
          <w:rFonts w:ascii="Arial" w:hAnsi="Arial" w:cs="Arial"/>
        </w:rPr>
        <w:t xml:space="preserve">For </w:t>
      </w:r>
      <w:r w:rsidRPr="00E1595B">
        <w:rPr>
          <w:rFonts w:ascii="Arial" w:hAnsi="Arial" w:cs="Arial"/>
          <w:b/>
          <w:bCs/>
        </w:rPr>
        <w:t>desktop</w:t>
      </w:r>
      <w:r>
        <w:rPr>
          <w:rFonts w:ascii="Arial" w:hAnsi="Arial" w:cs="Arial"/>
        </w:rPr>
        <w:t xml:space="preserve"> reviews </w:t>
      </w:r>
      <w:r w:rsidR="004F687E">
        <w:rPr>
          <w:rFonts w:ascii="Arial" w:hAnsi="Arial" w:cs="Arial"/>
        </w:rPr>
        <w:t xml:space="preserve">a sample of CDD files will also be requested prior to the telephone interviews. The firm has 5 working days to submit all the </w:t>
      </w:r>
      <w:r w:rsidR="007E3DC6">
        <w:rPr>
          <w:rFonts w:ascii="Arial" w:hAnsi="Arial" w:cs="Arial"/>
        </w:rPr>
        <w:t xml:space="preserve">CDD </w:t>
      </w:r>
      <w:r w:rsidR="004F687E">
        <w:rPr>
          <w:rFonts w:ascii="Arial" w:hAnsi="Arial" w:cs="Arial"/>
        </w:rPr>
        <w:t xml:space="preserve">files. </w:t>
      </w:r>
    </w:p>
    <w:p w14:paraId="098AB032" w14:textId="289622EA" w:rsidR="00AF1ABA" w:rsidRDefault="00AF1ABA" w:rsidP="002672C0">
      <w:pPr>
        <w:spacing w:after="0"/>
        <w:rPr>
          <w:rFonts w:ascii="Arial" w:hAnsi="Arial" w:cs="Arial"/>
        </w:rPr>
      </w:pPr>
    </w:p>
    <w:p w14:paraId="22C6400E" w14:textId="63B725F8" w:rsidR="00AF1ABA" w:rsidRPr="00934715" w:rsidRDefault="00AF1ABA" w:rsidP="002672C0">
      <w:pPr>
        <w:spacing w:after="0"/>
        <w:rPr>
          <w:rFonts w:ascii="Arial" w:hAnsi="Arial" w:cs="Arial"/>
        </w:rPr>
      </w:pPr>
      <w:r w:rsidRPr="00AD3D68">
        <w:rPr>
          <w:rFonts w:ascii="Arial" w:hAnsi="Arial" w:cs="Arial"/>
        </w:rPr>
        <w:t xml:space="preserve">Firms that fail to cooperate or supply the requested information </w:t>
      </w:r>
      <w:r>
        <w:rPr>
          <w:rFonts w:ascii="Arial" w:hAnsi="Arial" w:cs="Arial"/>
        </w:rPr>
        <w:t xml:space="preserve">at any of these stages </w:t>
      </w:r>
      <w:r w:rsidRPr="00AD3D68">
        <w:rPr>
          <w:rFonts w:ascii="Arial" w:hAnsi="Arial" w:cs="Arial"/>
        </w:rPr>
        <w:t>will be assessed as no</w:t>
      </w:r>
      <w:r>
        <w:rPr>
          <w:rFonts w:ascii="Arial" w:hAnsi="Arial" w:cs="Arial"/>
        </w:rPr>
        <w:t>n</w:t>
      </w:r>
      <w:r w:rsidRPr="00AD3D68">
        <w:rPr>
          <w:rFonts w:ascii="Arial" w:hAnsi="Arial" w:cs="Arial"/>
        </w:rPr>
        <w:t xml:space="preserve">-compliant and will be referred to ACCA </w:t>
      </w:r>
      <w:r w:rsidR="00934715">
        <w:rPr>
          <w:rFonts w:ascii="Arial" w:hAnsi="Arial" w:cs="Arial"/>
        </w:rPr>
        <w:t>a</w:t>
      </w:r>
      <w:r w:rsidRPr="00AD3D68">
        <w:rPr>
          <w:rFonts w:ascii="Arial" w:hAnsi="Arial" w:cs="Arial"/>
        </w:rPr>
        <w:t>ssessments team for consideration of enforcement action</w:t>
      </w:r>
      <w:r w:rsidR="00086837">
        <w:rPr>
          <w:rFonts w:ascii="Arial" w:hAnsi="Arial" w:cs="Arial"/>
        </w:rPr>
        <w:t xml:space="preserve">, </w:t>
      </w:r>
      <w:r w:rsidR="009C16EA">
        <w:rPr>
          <w:rFonts w:ascii="Arial" w:hAnsi="Arial" w:cs="Arial"/>
        </w:rPr>
        <w:t xml:space="preserve">because </w:t>
      </w:r>
      <w:r w:rsidR="00086837">
        <w:rPr>
          <w:rFonts w:ascii="Arial" w:hAnsi="Arial" w:cs="Arial"/>
        </w:rPr>
        <w:t xml:space="preserve">this will be considered a breach of the ACCA </w:t>
      </w:r>
      <w:r w:rsidR="009C16EA">
        <w:rPr>
          <w:rFonts w:ascii="Arial" w:hAnsi="Arial" w:cs="Arial"/>
        </w:rPr>
        <w:t>practising regulations</w:t>
      </w:r>
      <w:r w:rsidRPr="00AD3D68">
        <w:rPr>
          <w:rFonts w:ascii="Arial" w:hAnsi="Arial" w:cs="Arial"/>
        </w:rPr>
        <w:t>.</w:t>
      </w:r>
      <w:r>
        <w:rPr>
          <w:rFonts w:ascii="Arial" w:hAnsi="Arial" w:cs="Arial"/>
        </w:rPr>
        <w:t xml:space="preserve"> </w:t>
      </w:r>
    </w:p>
    <w:p w14:paraId="0C6680D6" w14:textId="1DBFC492" w:rsidR="00836DBA" w:rsidRPr="00AD3D68" w:rsidRDefault="00836DBA" w:rsidP="002672C0">
      <w:pPr>
        <w:spacing w:after="0"/>
        <w:rPr>
          <w:rFonts w:ascii="Arial" w:hAnsi="Arial" w:cs="Arial"/>
        </w:rPr>
      </w:pPr>
    </w:p>
    <w:p w14:paraId="0877682F" w14:textId="637A3599" w:rsidR="00836DBA" w:rsidRPr="00AD3D68" w:rsidRDefault="00836DBA" w:rsidP="006001D9">
      <w:pPr>
        <w:tabs>
          <w:tab w:val="left" w:pos="5541"/>
        </w:tabs>
        <w:spacing w:after="0"/>
        <w:rPr>
          <w:rFonts w:ascii="Arial" w:hAnsi="Arial" w:cs="Arial"/>
          <w:b/>
          <w:bCs/>
        </w:rPr>
      </w:pPr>
      <w:r w:rsidRPr="00AD3D68">
        <w:rPr>
          <w:rFonts w:ascii="Arial" w:hAnsi="Arial" w:cs="Arial"/>
          <w:b/>
          <w:bCs/>
        </w:rPr>
        <w:t>Reporting</w:t>
      </w:r>
      <w:r w:rsidR="006B72ED" w:rsidRPr="00AD3D68">
        <w:rPr>
          <w:rFonts w:ascii="Arial" w:hAnsi="Arial" w:cs="Arial"/>
          <w:b/>
          <w:bCs/>
        </w:rPr>
        <w:t xml:space="preserve"> and remedial actions</w:t>
      </w:r>
      <w:r w:rsidR="006001D9">
        <w:rPr>
          <w:rFonts w:ascii="Arial" w:hAnsi="Arial" w:cs="Arial"/>
          <w:b/>
          <w:bCs/>
        </w:rPr>
        <w:tab/>
      </w:r>
    </w:p>
    <w:p w14:paraId="44C883DE" w14:textId="77777777" w:rsidR="00836DBA" w:rsidRPr="00AD3D68" w:rsidRDefault="00836DBA" w:rsidP="002672C0">
      <w:pPr>
        <w:spacing w:after="0"/>
        <w:rPr>
          <w:rFonts w:ascii="Arial" w:hAnsi="Arial" w:cs="Arial"/>
        </w:rPr>
      </w:pPr>
    </w:p>
    <w:p w14:paraId="3D0C29B3" w14:textId="5CA43BCF" w:rsidR="00006651" w:rsidRPr="00AD3D68" w:rsidRDefault="001D6C89" w:rsidP="002672C0">
      <w:pPr>
        <w:spacing w:after="0"/>
        <w:rPr>
          <w:rFonts w:ascii="Arial" w:hAnsi="Arial" w:cs="Arial"/>
        </w:rPr>
      </w:pPr>
      <w:r w:rsidRPr="00AD3D68">
        <w:rPr>
          <w:rFonts w:ascii="Arial" w:hAnsi="Arial" w:cs="Arial"/>
        </w:rPr>
        <w:t xml:space="preserve">Following the review, the </w:t>
      </w:r>
      <w:r w:rsidR="00E57A27" w:rsidRPr="00AD3D68">
        <w:rPr>
          <w:rFonts w:ascii="Arial" w:hAnsi="Arial" w:cs="Arial"/>
        </w:rPr>
        <w:t>AML superviso</w:t>
      </w:r>
      <w:r w:rsidR="00A530BE">
        <w:rPr>
          <w:rFonts w:ascii="Arial" w:hAnsi="Arial" w:cs="Arial"/>
        </w:rPr>
        <w:t>ry</w:t>
      </w:r>
      <w:r w:rsidR="00E57A27" w:rsidRPr="00AD3D68">
        <w:rPr>
          <w:rFonts w:ascii="Arial" w:hAnsi="Arial" w:cs="Arial"/>
        </w:rPr>
        <w:t xml:space="preserve"> </w:t>
      </w:r>
      <w:r w:rsidR="00162EF1" w:rsidRPr="00AD3D68">
        <w:rPr>
          <w:rFonts w:ascii="Arial" w:hAnsi="Arial" w:cs="Arial"/>
        </w:rPr>
        <w:t>team</w:t>
      </w:r>
      <w:r w:rsidR="00E57A27" w:rsidRPr="00AD3D68">
        <w:rPr>
          <w:rFonts w:ascii="Arial" w:hAnsi="Arial" w:cs="Arial"/>
        </w:rPr>
        <w:t xml:space="preserve"> will </w:t>
      </w:r>
      <w:r w:rsidR="004620CD">
        <w:rPr>
          <w:rFonts w:ascii="Arial" w:hAnsi="Arial" w:cs="Arial"/>
        </w:rPr>
        <w:t>issue</w:t>
      </w:r>
      <w:r w:rsidR="004620CD" w:rsidRPr="00AD3D68">
        <w:rPr>
          <w:rFonts w:ascii="Arial" w:hAnsi="Arial" w:cs="Arial"/>
        </w:rPr>
        <w:t xml:space="preserve"> </w:t>
      </w:r>
      <w:r w:rsidR="00E57A27" w:rsidRPr="00AD3D68">
        <w:rPr>
          <w:rFonts w:ascii="Arial" w:hAnsi="Arial" w:cs="Arial"/>
        </w:rPr>
        <w:t xml:space="preserve">a </w:t>
      </w:r>
      <w:r w:rsidR="00162EF1" w:rsidRPr="00AD3D68">
        <w:rPr>
          <w:rFonts w:ascii="Arial" w:hAnsi="Arial" w:cs="Arial"/>
        </w:rPr>
        <w:t xml:space="preserve">final </w:t>
      </w:r>
      <w:r w:rsidR="00E57A27" w:rsidRPr="00AD3D68">
        <w:rPr>
          <w:rFonts w:ascii="Arial" w:hAnsi="Arial" w:cs="Arial"/>
        </w:rPr>
        <w:t>report to the firm</w:t>
      </w:r>
      <w:r w:rsidR="00427F3F" w:rsidRPr="00AD3D68">
        <w:rPr>
          <w:rFonts w:ascii="Arial" w:hAnsi="Arial" w:cs="Arial"/>
        </w:rPr>
        <w:t xml:space="preserve">. The report will </w:t>
      </w:r>
      <w:r w:rsidR="00D047EE" w:rsidRPr="00AD3D68">
        <w:rPr>
          <w:rFonts w:ascii="Arial" w:hAnsi="Arial" w:cs="Arial"/>
        </w:rPr>
        <w:t xml:space="preserve">highlight the </w:t>
      </w:r>
      <w:r w:rsidR="0059709A" w:rsidRPr="00AD3D68">
        <w:rPr>
          <w:rFonts w:ascii="Arial" w:hAnsi="Arial" w:cs="Arial"/>
        </w:rPr>
        <w:t>A</w:t>
      </w:r>
      <w:r w:rsidR="00E57A27" w:rsidRPr="00AD3D68">
        <w:rPr>
          <w:rFonts w:ascii="Arial" w:hAnsi="Arial" w:cs="Arial"/>
        </w:rPr>
        <w:t>ML control def</w:t>
      </w:r>
      <w:r w:rsidR="00ED700F" w:rsidRPr="00AD3D68">
        <w:rPr>
          <w:rFonts w:ascii="Arial" w:hAnsi="Arial" w:cs="Arial"/>
        </w:rPr>
        <w:t xml:space="preserve">iciency found during the </w:t>
      </w:r>
      <w:r w:rsidR="00F530F4" w:rsidRPr="00AD3D68">
        <w:rPr>
          <w:rFonts w:ascii="Arial" w:hAnsi="Arial" w:cs="Arial"/>
        </w:rPr>
        <w:t>review and</w:t>
      </w:r>
      <w:r w:rsidR="00ED700F" w:rsidRPr="00AD3D68">
        <w:rPr>
          <w:rFonts w:ascii="Arial" w:hAnsi="Arial" w:cs="Arial"/>
        </w:rPr>
        <w:t xml:space="preserve"> </w:t>
      </w:r>
      <w:r w:rsidR="00FB5ED5" w:rsidRPr="00AD3D68">
        <w:rPr>
          <w:rFonts w:ascii="Arial" w:hAnsi="Arial" w:cs="Arial"/>
        </w:rPr>
        <w:t xml:space="preserve">the </w:t>
      </w:r>
      <w:r w:rsidR="00ED700F" w:rsidRPr="00AD3D68">
        <w:rPr>
          <w:rFonts w:ascii="Arial" w:hAnsi="Arial" w:cs="Arial"/>
        </w:rPr>
        <w:t xml:space="preserve">remedial actions that the firm must take in order to </w:t>
      </w:r>
      <w:r w:rsidR="00920E34" w:rsidRPr="00AD3D68">
        <w:rPr>
          <w:rFonts w:ascii="Arial" w:hAnsi="Arial" w:cs="Arial"/>
        </w:rPr>
        <w:t xml:space="preserve">improve their AML controls and to </w:t>
      </w:r>
      <w:r w:rsidR="00ED700F" w:rsidRPr="00AD3D68">
        <w:rPr>
          <w:rFonts w:ascii="Arial" w:hAnsi="Arial" w:cs="Arial"/>
        </w:rPr>
        <w:t xml:space="preserve">comply with the </w:t>
      </w:r>
      <w:r w:rsidR="00251393" w:rsidRPr="00AD3D68">
        <w:rPr>
          <w:rFonts w:ascii="Arial" w:hAnsi="Arial" w:cs="Arial"/>
        </w:rPr>
        <w:t>money laundering</w:t>
      </w:r>
      <w:r w:rsidR="00B0592A" w:rsidRPr="00AD3D68">
        <w:rPr>
          <w:rFonts w:ascii="Arial" w:hAnsi="Arial" w:cs="Arial"/>
        </w:rPr>
        <w:t xml:space="preserve"> regulations.</w:t>
      </w:r>
      <w:r w:rsidR="00F530F4" w:rsidRPr="00AD3D68">
        <w:rPr>
          <w:rFonts w:ascii="Arial" w:hAnsi="Arial" w:cs="Arial"/>
        </w:rPr>
        <w:t xml:space="preserve">  </w:t>
      </w:r>
    </w:p>
    <w:p w14:paraId="5C1EC140" w14:textId="77777777" w:rsidR="00006651" w:rsidRPr="00AD3D68" w:rsidRDefault="00006651" w:rsidP="002672C0">
      <w:pPr>
        <w:spacing w:after="0"/>
        <w:rPr>
          <w:rFonts w:ascii="Arial" w:hAnsi="Arial" w:cs="Arial"/>
        </w:rPr>
      </w:pPr>
    </w:p>
    <w:p w14:paraId="071E2DCF" w14:textId="00FB0BE4" w:rsidR="00006651" w:rsidRPr="00AD3D68" w:rsidRDefault="00006651" w:rsidP="00006651">
      <w:pPr>
        <w:spacing w:after="0"/>
        <w:rPr>
          <w:rFonts w:ascii="Arial" w:hAnsi="Arial" w:cs="Arial"/>
        </w:rPr>
      </w:pPr>
      <w:r w:rsidRPr="00AD3D68">
        <w:rPr>
          <w:rFonts w:ascii="Arial" w:hAnsi="Arial" w:cs="Arial"/>
        </w:rPr>
        <w:t xml:space="preserve">A deadline for implementation </w:t>
      </w:r>
      <w:r w:rsidR="00C15D3A" w:rsidRPr="00AD3D68">
        <w:rPr>
          <w:rFonts w:ascii="Arial" w:hAnsi="Arial" w:cs="Arial"/>
        </w:rPr>
        <w:t xml:space="preserve">of the remedial actions </w:t>
      </w:r>
      <w:r w:rsidRPr="00AD3D68">
        <w:rPr>
          <w:rFonts w:ascii="Arial" w:hAnsi="Arial" w:cs="Arial"/>
        </w:rPr>
        <w:t xml:space="preserve">will be imposed on a case-by-case basis taking into account the nature of the </w:t>
      </w:r>
      <w:r w:rsidR="00C15D3A" w:rsidRPr="00AD3D68">
        <w:rPr>
          <w:rFonts w:ascii="Arial" w:hAnsi="Arial" w:cs="Arial"/>
        </w:rPr>
        <w:t>AML control deficiency</w:t>
      </w:r>
      <w:r w:rsidRPr="00AD3D68">
        <w:rPr>
          <w:rFonts w:ascii="Arial" w:hAnsi="Arial" w:cs="Arial"/>
        </w:rPr>
        <w:t xml:space="preserve">. Once </w:t>
      </w:r>
      <w:r w:rsidR="00C15D3A" w:rsidRPr="00AD3D68">
        <w:rPr>
          <w:rFonts w:ascii="Arial" w:hAnsi="Arial" w:cs="Arial"/>
        </w:rPr>
        <w:t>the AML supervis</w:t>
      </w:r>
      <w:r w:rsidR="004620CD">
        <w:rPr>
          <w:rFonts w:ascii="Arial" w:hAnsi="Arial" w:cs="Arial"/>
        </w:rPr>
        <w:t>ory</w:t>
      </w:r>
      <w:r w:rsidR="00C15D3A" w:rsidRPr="00AD3D68">
        <w:rPr>
          <w:rFonts w:ascii="Arial" w:hAnsi="Arial" w:cs="Arial"/>
        </w:rPr>
        <w:t xml:space="preserve"> team is</w:t>
      </w:r>
      <w:r w:rsidRPr="00AD3D68">
        <w:rPr>
          <w:rFonts w:ascii="Arial" w:hAnsi="Arial" w:cs="Arial"/>
        </w:rPr>
        <w:t xml:space="preserve"> satisfied that the firm has </w:t>
      </w:r>
      <w:r w:rsidR="00FB03B1" w:rsidRPr="00AD3D68">
        <w:rPr>
          <w:rFonts w:ascii="Arial" w:hAnsi="Arial" w:cs="Arial"/>
        </w:rPr>
        <w:t xml:space="preserve">designed and </w:t>
      </w:r>
      <w:r w:rsidRPr="00AD3D68">
        <w:rPr>
          <w:rFonts w:ascii="Arial" w:hAnsi="Arial" w:cs="Arial"/>
        </w:rPr>
        <w:t xml:space="preserve">implemented </w:t>
      </w:r>
      <w:r w:rsidR="00FB03B1" w:rsidRPr="00AD3D68">
        <w:rPr>
          <w:rFonts w:ascii="Arial" w:hAnsi="Arial" w:cs="Arial"/>
        </w:rPr>
        <w:t xml:space="preserve">appropriate </w:t>
      </w:r>
      <w:r w:rsidRPr="00AD3D68">
        <w:rPr>
          <w:rFonts w:ascii="Arial" w:hAnsi="Arial" w:cs="Arial"/>
        </w:rPr>
        <w:t xml:space="preserve">AML controls and provided sufficient </w:t>
      </w:r>
      <w:r w:rsidR="009932DA" w:rsidRPr="00AD3D68">
        <w:rPr>
          <w:rFonts w:ascii="Arial" w:hAnsi="Arial" w:cs="Arial"/>
        </w:rPr>
        <w:t xml:space="preserve">and appropriate </w:t>
      </w:r>
      <w:r w:rsidRPr="00AD3D68">
        <w:rPr>
          <w:rFonts w:ascii="Arial" w:hAnsi="Arial" w:cs="Arial"/>
        </w:rPr>
        <w:t>evidence of such</w:t>
      </w:r>
      <w:r w:rsidR="00EC5DD7" w:rsidRPr="00AD3D68">
        <w:rPr>
          <w:rFonts w:ascii="Arial" w:hAnsi="Arial" w:cs="Arial"/>
        </w:rPr>
        <w:t xml:space="preserve">, </w:t>
      </w:r>
      <w:r w:rsidR="009932DA" w:rsidRPr="00AD3D68">
        <w:rPr>
          <w:rFonts w:ascii="Arial" w:hAnsi="Arial" w:cs="Arial"/>
        </w:rPr>
        <w:t>the AML</w:t>
      </w:r>
      <w:r w:rsidRPr="00AD3D68">
        <w:rPr>
          <w:rFonts w:ascii="Arial" w:hAnsi="Arial" w:cs="Arial"/>
        </w:rPr>
        <w:t xml:space="preserve"> review will be completed and closed. </w:t>
      </w:r>
      <w:r w:rsidR="005A731F" w:rsidRPr="00AD3D68">
        <w:rPr>
          <w:rFonts w:ascii="Arial" w:hAnsi="Arial" w:cs="Arial"/>
        </w:rPr>
        <w:t xml:space="preserve">Firms that fail to cooperate </w:t>
      </w:r>
      <w:r w:rsidR="00781DBB" w:rsidRPr="00AD3D68">
        <w:rPr>
          <w:rFonts w:ascii="Arial" w:hAnsi="Arial" w:cs="Arial"/>
        </w:rPr>
        <w:t xml:space="preserve">or to provide sufficient and appropriate evidence </w:t>
      </w:r>
      <w:r w:rsidR="00D84EB2" w:rsidRPr="00AD3D68">
        <w:rPr>
          <w:rFonts w:ascii="Arial" w:hAnsi="Arial" w:cs="Arial"/>
        </w:rPr>
        <w:t xml:space="preserve">to demonstrate that their have </w:t>
      </w:r>
      <w:r w:rsidR="00D378E9" w:rsidRPr="00AD3D68">
        <w:rPr>
          <w:rFonts w:ascii="Arial" w:hAnsi="Arial" w:cs="Arial"/>
        </w:rPr>
        <w:t xml:space="preserve">designed and implemented appropriate AML controls </w:t>
      </w:r>
      <w:r w:rsidRPr="00AD3D68">
        <w:rPr>
          <w:rFonts w:ascii="Arial" w:hAnsi="Arial" w:cs="Arial"/>
        </w:rPr>
        <w:t xml:space="preserve">will be referred to the ACCA </w:t>
      </w:r>
      <w:r w:rsidR="00934715">
        <w:rPr>
          <w:rFonts w:ascii="Arial" w:hAnsi="Arial" w:cs="Arial"/>
        </w:rPr>
        <w:t>a</w:t>
      </w:r>
      <w:r w:rsidRPr="00AD3D68">
        <w:rPr>
          <w:rFonts w:ascii="Arial" w:hAnsi="Arial" w:cs="Arial"/>
        </w:rPr>
        <w:t xml:space="preserve">ssessments team for consideration of further enforcement action. If a case progresses to an ACCA disciplinary committee and the member is sanctioned for breaches of the </w:t>
      </w:r>
      <w:r w:rsidR="00251393" w:rsidRPr="00AD3D68">
        <w:rPr>
          <w:rFonts w:ascii="Arial" w:hAnsi="Arial" w:cs="Arial"/>
        </w:rPr>
        <w:t>money laundering regulations</w:t>
      </w:r>
      <w:r w:rsidR="00BE3CE7" w:rsidRPr="00AD3D68">
        <w:rPr>
          <w:rFonts w:ascii="Arial" w:hAnsi="Arial" w:cs="Arial"/>
        </w:rPr>
        <w:t>,</w:t>
      </w:r>
      <w:r w:rsidRPr="00AD3D68">
        <w:rPr>
          <w:rFonts w:ascii="Arial" w:hAnsi="Arial" w:cs="Arial"/>
        </w:rPr>
        <w:t xml:space="preserve"> then (as long as </w:t>
      </w:r>
      <w:r w:rsidR="001B107E" w:rsidRPr="00AD3D68">
        <w:rPr>
          <w:rFonts w:ascii="Arial" w:hAnsi="Arial" w:cs="Arial"/>
        </w:rPr>
        <w:t xml:space="preserve">there are </w:t>
      </w:r>
      <w:r w:rsidRPr="00AD3D68">
        <w:rPr>
          <w:rFonts w:ascii="Arial" w:hAnsi="Arial" w:cs="Arial"/>
        </w:rPr>
        <w:t xml:space="preserve">no legal </w:t>
      </w:r>
      <w:r w:rsidR="001B107E" w:rsidRPr="00AD3D68">
        <w:rPr>
          <w:rFonts w:ascii="Arial" w:hAnsi="Arial" w:cs="Arial"/>
        </w:rPr>
        <w:t xml:space="preserve">restrictions </w:t>
      </w:r>
      <w:r w:rsidR="00C37D30" w:rsidRPr="00AD3D68">
        <w:rPr>
          <w:rFonts w:ascii="Arial" w:hAnsi="Arial" w:cs="Arial"/>
        </w:rPr>
        <w:t xml:space="preserve">or exceptional circumstances </w:t>
      </w:r>
      <w:r w:rsidR="001B107E" w:rsidRPr="00AD3D68">
        <w:rPr>
          <w:rFonts w:ascii="Arial" w:hAnsi="Arial" w:cs="Arial"/>
        </w:rPr>
        <w:t xml:space="preserve">to </w:t>
      </w:r>
      <w:r w:rsidRPr="00AD3D68">
        <w:rPr>
          <w:rFonts w:ascii="Arial" w:hAnsi="Arial" w:cs="Arial"/>
        </w:rPr>
        <w:t xml:space="preserve">prevent this) the </w:t>
      </w:r>
      <w:r w:rsidR="0044744A" w:rsidRPr="00AD3D68">
        <w:rPr>
          <w:rFonts w:ascii="Arial" w:hAnsi="Arial" w:cs="Arial"/>
        </w:rPr>
        <w:t>decision</w:t>
      </w:r>
      <w:r w:rsidRPr="00AD3D68">
        <w:rPr>
          <w:rFonts w:ascii="Arial" w:hAnsi="Arial" w:cs="Arial"/>
        </w:rPr>
        <w:t xml:space="preserve"> will be published</w:t>
      </w:r>
      <w:r w:rsidR="00056DCD" w:rsidRPr="00AD3D68">
        <w:rPr>
          <w:rFonts w:ascii="Arial" w:hAnsi="Arial" w:cs="Arial"/>
        </w:rPr>
        <w:t xml:space="preserve">, naming the relevant </w:t>
      </w:r>
      <w:r w:rsidR="00282CFE" w:rsidRPr="00AD3D68">
        <w:rPr>
          <w:rFonts w:ascii="Arial" w:hAnsi="Arial" w:cs="Arial"/>
        </w:rPr>
        <w:t>member</w:t>
      </w:r>
      <w:r w:rsidR="00056DCD" w:rsidRPr="00AD3D68">
        <w:rPr>
          <w:rFonts w:ascii="Arial" w:hAnsi="Arial" w:cs="Arial"/>
        </w:rPr>
        <w:t>, as soon as practicable and in such manner as ACCA thinks fit.</w:t>
      </w:r>
    </w:p>
    <w:p w14:paraId="2BD23608" w14:textId="77777777" w:rsidR="00006651" w:rsidRPr="00AD3D68" w:rsidRDefault="00006651" w:rsidP="002672C0">
      <w:pPr>
        <w:spacing w:after="0"/>
        <w:rPr>
          <w:rFonts w:ascii="Arial" w:hAnsi="Arial" w:cs="Arial"/>
        </w:rPr>
      </w:pPr>
    </w:p>
    <w:p w14:paraId="6B50F0AC" w14:textId="78DA0AD4" w:rsidR="00185E43" w:rsidRPr="00AD3D68" w:rsidRDefault="00474C48" w:rsidP="002672C0">
      <w:pPr>
        <w:spacing w:after="0"/>
        <w:rPr>
          <w:rFonts w:ascii="Arial" w:hAnsi="Arial" w:cs="Arial"/>
        </w:rPr>
      </w:pPr>
      <w:r w:rsidRPr="00AD3D68">
        <w:rPr>
          <w:rFonts w:ascii="Arial" w:hAnsi="Arial" w:cs="Arial"/>
        </w:rPr>
        <w:t xml:space="preserve">Further information and guidance about </w:t>
      </w:r>
      <w:r w:rsidR="00100311" w:rsidRPr="00AD3D68">
        <w:rPr>
          <w:rFonts w:ascii="Arial" w:hAnsi="Arial" w:cs="Arial"/>
        </w:rPr>
        <w:t xml:space="preserve">the ACCA </w:t>
      </w:r>
      <w:r w:rsidR="005C62A1" w:rsidRPr="00AD3D68">
        <w:rPr>
          <w:rFonts w:ascii="Arial" w:hAnsi="Arial" w:cs="Arial"/>
        </w:rPr>
        <w:t>disciplinary</w:t>
      </w:r>
      <w:r w:rsidR="00185E43" w:rsidRPr="00AD3D68">
        <w:rPr>
          <w:rFonts w:ascii="Arial" w:hAnsi="Arial" w:cs="Arial"/>
        </w:rPr>
        <w:t xml:space="preserve"> process </w:t>
      </w:r>
      <w:r w:rsidR="00611041" w:rsidRPr="00AD3D68">
        <w:rPr>
          <w:rFonts w:ascii="Arial" w:hAnsi="Arial" w:cs="Arial"/>
        </w:rPr>
        <w:t xml:space="preserve">including </w:t>
      </w:r>
      <w:r w:rsidR="005C62A1" w:rsidRPr="00AD3D68">
        <w:rPr>
          <w:rFonts w:ascii="Arial" w:hAnsi="Arial" w:cs="Arial"/>
        </w:rPr>
        <w:t xml:space="preserve">publicity and </w:t>
      </w:r>
      <w:r w:rsidR="00F658AD" w:rsidRPr="00AD3D68">
        <w:rPr>
          <w:rFonts w:ascii="Arial" w:hAnsi="Arial" w:cs="Arial"/>
        </w:rPr>
        <w:t>sanctions is</w:t>
      </w:r>
      <w:r w:rsidR="00185E43" w:rsidRPr="00AD3D68">
        <w:rPr>
          <w:rFonts w:ascii="Arial" w:hAnsi="Arial" w:cs="Arial"/>
        </w:rPr>
        <w:t xml:space="preserve"> a</w:t>
      </w:r>
      <w:r w:rsidRPr="00AD3D68">
        <w:rPr>
          <w:rFonts w:ascii="Arial" w:hAnsi="Arial" w:cs="Arial"/>
        </w:rPr>
        <w:t xml:space="preserve">vailable on the </w:t>
      </w:r>
      <w:r w:rsidR="00552AD8" w:rsidRPr="00AD3D68">
        <w:rPr>
          <w:rFonts w:ascii="Arial" w:hAnsi="Arial" w:cs="Arial"/>
        </w:rPr>
        <w:t xml:space="preserve">regulations and standard </w:t>
      </w:r>
      <w:r w:rsidR="00F530F4" w:rsidRPr="00AD3D68">
        <w:rPr>
          <w:rFonts w:ascii="Arial" w:hAnsi="Arial" w:cs="Arial"/>
        </w:rPr>
        <w:t xml:space="preserve">section of ACCA website at </w:t>
      </w:r>
      <w:hyperlink r:id="rId17" w:history="1">
        <w:r w:rsidR="00185E43" w:rsidRPr="00AD3D68">
          <w:rPr>
            <w:rStyle w:val="Hyperlink"/>
            <w:rFonts w:ascii="Arial" w:hAnsi="Arial" w:cs="Arial"/>
          </w:rPr>
          <w:t>https://www.accaglobal.com/gb/en/about-us/regulation/disciplinary-and-regulatory-hearings.html</w:t>
        </w:r>
      </w:hyperlink>
    </w:p>
    <w:p w14:paraId="728D2551" w14:textId="77777777" w:rsidR="008A3940" w:rsidRPr="00AD3D68" w:rsidRDefault="008A3940" w:rsidP="002672C0">
      <w:pPr>
        <w:spacing w:after="0"/>
        <w:rPr>
          <w:rFonts w:ascii="Arial" w:hAnsi="Arial" w:cs="Arial"/>
          <w:b/>
          <w:bCs/>
        </w:rPr>
      </w:pPr>
    </w:p>
    <w:p w14:paraId="3203F662" w14:textId="2477AD28" w:rsidR="00E434FD" w:rsidRPr="00AD3D68" w:rsidRDefault="00E434FD" w:rsidP="002672C0">
      <w:pPr>
        <w:spacing w:after="0"/>
        <w:rPr>
          <w:rFonts w:ascii="Arial" w:hAnsi="Arial" w:cs="Arial"/>
          <w:b/>
          <w:bCs/>
        </w:rPr>
      </w:pPr>
      <w:r w:rsidRPr="00AD3D68">
        <w:rPr>
          <w:rFonts w:ascii="Arial" w:hAnsi="Arial" w:cs="Arial"/>
          <w:b/>
          <w:bCs/>
        </w:rPr>
        <w:t>Frequency of monitoring</w:t>
      </w:r>
    </w:p>
    <w:p w14:paraId="41B00B41" w14:textId="1E3A9CD8" w:rsidR="003B1075" w:rsidRPr="00AD3D68" w:rsidRDefault="003B1075" w:rsidP="002672C0">
      <w:pPr>
        <w:spacing w:after="0"/>
        <w:rPr>
          <w:rFonts w:ascii="Arial" w:hAnsi="Arial" w:cs="Arial"/>
          <w:b/>
          <w:bCs/>
        </w:rPr>
      </w:pPr>
    </w:p>
    <w:p w14:paraId="1EE0C775" w14:textId="1924B349" w:rsidR="008E6AF7" w:rsidRPr="00E1595B" w:rsidRDefault="00934715" w:rsidP="00E1595B">
      <w:pPr>
        <w:spacing w:after="0"/>
        <w:rPr>
          <w:rFonts w:ascii="Arial" w:hAnsi="Arial" w:cs="Arial"/>
        </w:rPr>
      </w:pPr>
      <w:r w:rsidRPr="00E1595B">
        <w:rPr>
          <w:rFonts w:ascii="Arial" w:hAnsi="Arial" w:cs="Arial"/>
        </w:rPr>
        <w:t xml:space="preserve">The AML supervisory team </w:t>
      </w:r>
      <w:r w:rsidR="00355064" w:rsidRPr="00E1595B">
        <w:rPr>
          <w:rFonts w:ascii="Arial" w:hAnsi="Arial" w:cs="Arial"/>
        </w:rPr>
        <w:t xml:space="preserve">conducts reviews on a risk-based cycle. Therefore the frequency of when firms are reviewed will vary in line with a number of factors that the AML supervisory team will consider for example the firms previous monitoring history, intelligence from law enforcement or data from other sources. </w:t>
      </w:r>
    </w:p>
    <w:p w14:paraId="1F483AF9" w14:textId="77777777" w:rsidR="008E6AF7" w:rsidRDefault="008E6AF7" w:rsidP="008E6AF7">
      <w:pPr>
        <w:pStyle w:val="BodyText"/>
        <w:spacing w:line="417" w:lineRule="auto"/>
        <w:ind w:right="1032"/>
        <w:rPr>
          <w:color w:val="000000" w:themeColor="text1"/>
        </w:rPr>
      </w:pPr>
    </w:p>
    <w:p w14:paraId="162F0BA1" w14:textId="77777777" w:rsidR="008E6AF7" w:rsidRDefault="008E6AF7" w:rsidP="008E6AF7">
      <w:pPr>
        <w:pStyle w:val="BodyText"/>
        <w:spacing w:line="417" w:lineRule="auto"/>
        <w:ind w:right="1032"/>
        <w:rPr>
          <w:color w:val="000000" w:themeColor="text1"/>
        </w:rPr>
      </w:pPr>
    </w:p>
    <w:p w14:paraId="4D4BB8DD" w14:textId="77777777" w:rsidR="008E6AF7" w:rsidRDefault="008E6AF7" w:rsidP="008E6AF7">
      <w:pPr>
        <w:pStyle w:val="BodyText"/>
        <w:spacing w:line="417" w:lineRule="auto"/>
        <w:ind w:right="1032"/>
        <w:rPr>
          <w:color w:val="000000" w:themeColor="text1"/>
        </w:rPr>
      </w:pPr>
    </w:p>
    <w:p w14:paraId="2CBDAEDA" w14:textId="77777777" w:rsidR="008E6AF7" w:rsidRDefault="008E6AF7" w:rsidP="008E6AF7">
      <w:pPr>
        <w:pStyle w:val="BodyText"/>
        <w:spacing w:line="417" w:lineRule="auto"/>
        <w:ind w:right="1032"/>
        <w:rPr>
          <w:color w:val="000000" w:themeColor="text1"/>
        </w:rPr>
      </w:pPr>
    </w:p>
    <w:p w14:paraId="34974989" w14:textId="77777777" w:rsidR="008E6AF7" w:rsidRDefault="008E6AF7" w:rsidP="008E6AF7">
      <w:pPr>
        <w:pStyle w:val="BodyText"/>
        <w:spacing w:line="417" w:lineRule="auto"/>
        <w:ind w:right="1032"/>
        <w:rPr>
          <w:color w:val="000000" w:themeColor="text1"/>
        </w:rPr>
      </w:pPr>
    </w:p>
    <w:p w14:paraId="77D5E943" w14:textId="77777777" w:rsidR="008E6AF7" w:rsidRDefault="008E6AF7" w:rsidP="008E6AF7">
      <w:pPr>
        <w:pStyle w:val="BodyText"/>
        <w:spacing w:line="417" w:lineRule="auto"/>
        <w:ind w:right="1032"/>
        <w:rPr>
          <w:color w:val="000000" w:themeColor="text1"/>
        </w:rPr>
      </w:pPr>
    </w:p>
    <w:p w14:paraId="3911F7F3" w14:textId="2A7C982E" w:rsidR="008E6AF7" w:rsidRDefault="00100AE9" w:rsidP="008E6AF7">
      <w:pPr>
        <w:pStyle w:val="BodyText"/>
        <w:spacing w:line="417" w:lineRule="auto"/>
        <w:ind w:right="1032"/>
        <w:rPr>
          <w:color w:val="000000" w:themeColor="text1"/>
        </w:rPr>
      </w:pPr>
      <w:r>
        <w:rPr>
          <w:color w:val="000000" w:themeColor="text1"/>
        </w:rPr>
        <w:lastRenderedPageBreak/>
        <w:t>Factsheet</w:t>
      </w:r>
    </w:p>
    <w:p w14:paraId="0B0ED2F2" w14:textId="56BD29E8" w:rsidR="008E6AF7" w:rsidRDefault="008E6AF7" w:rsidP="0039220D">
      <w:pPr>
        <w:pStyle w:val="BodyText"/>
        <w:spacing w:line="417" w:lineRule="auto"/>
        <w:ind w:right="1032"/>
        <w:rPr>
          <w:color w:val="000000" w:themeColor="text1"/>
        </w:rPr>
      </w:pPr>
      <w:r w:rsidRPr="00E23C22">
        <w:rPr>
          <w:color w:val="000000" w:themeColor="text1"/>
        </w:rPr>
        <w:t xml:space="preserve">Issued </w:t>
      </w:r>
      <w:r>
        <w:rPr>
          <w:color w:val="000000" w:themeColor="text1"/>
        </w:rPr>
        <w:t>May</w:t>
      </w:r>
      <w:r w:rsidRPr="00E23C22">
        <w:rPr>
          <w:color w:val="000000" w:themeColor="text1"/>
        </w:rPr>
        <w:t xml:space="preserve"> 2020</w:t>
      </w:r>
      <w:r w:rsidR="009660B5">
        <w:rPr>
          <w:color w:val="000000" w:themeColor="text1"/>
        </w:rPr>
        <w:t xml:space="preserve"> (updated June 2021)</w:t>
      </w:r>
    </w:p>
    <w:p w14:paraId="0257867B" w14:textId="77777777" w:rsidR="00263258" w:rsidRDefault="00263258" w:rsidP="00263258">
      <w:pPr>
        <w:ind w:right="1032"/>
        <w:rPr>
          <w:rFonts w:ascii="Arial" w:hAnsi="Arial" w:cs="Arial"/>
          <w:b/>
          <w:color w:val="000000" w:themeColor="text1"/>
          <w:sz w:val="20"/>
          <w:szCs w:val="20"/>
        </w:rPr>
      </w:pPr>
      <w:r w:rsidRPr="006B0B45">
        <w:rPr>
          <w:rFonts w:ascii="Arial" w:hAnsi="Arial" w:cs="Arial"/>
          <w:b/>
          <w:color w:val="000000" w:themeColor="text1"/>
          <w:w w:val="105"/>
          <w:sz w:val="20"/>
          <w:szCs w:val="20"/>
        </w:rPr>
        <w:t>ACCA LEGAL NOTICE</w:t>
      </w:r>
    </w:p>
    <w:p w14:paraId="72CED374" w14:textId="5EF75518" w:rsidR="00263258" w:rsidRPr="006B0B45" w:rsidRDefault="00263258" w:rsidP="00263258">
      <w:pPr>
        <w:ind w:right="1032"/>
        <w:rPr>
          <w:rFonts w:ascii="Arial" w:hAnsi="Arial" w:cs="Arial"/>
          <w:b/>
          <w:color w:val="000000" w:themeColor="text1"/>
          <w:sz w:val="20"/>
          <w:szCs w:val="20"/>
        </w:rPr>
      </w:pPr>
      <w:r w:rsidRPr="006B0B45">
        <w:rPr>
          <w:rFonts w:ascii="Arial" w:hAnsi="Arial" w:cs="Arial"/>
          <w:color w:val="000000" w:themeColor="text1"/>
          <w:w w:val="105"/>
          <w:sz w:val="20"/>
          <w:szCs w:val="20"/>
        </w:rPr>
        <w:t>This factsheet is for guidance purposes only. It is not a substitute for obtaining specific legal advice. While every care has been taken with the preparation of the factsheet, neither ACCA nor its employees accept any responsibility for any loss occasioned by reliance on the contents.</w:t>
      </w:r>
    </w:p>
    <w:p w14:paraId="69D3EDD2" w14:textId="77777777" w:rsidR="00263258" w:rsidRPr="0039220D" w:rsidRDefault="00263258" w:rsidP="0039220D">
      <w:pPr>
        <w:pStyle w:val="BodyText"/>
        <w:spacing w:line="417" w:lineRule="auto"/>
        <w:ind w:right="1032"/>
        <w:rPr>
          <w:color w:val="000000" w:themeColor="text1"/>
        </w:rPr>
      </w:pPr>
    </w:p>
    <w:sectPr w:rsidR="00263258" w:rsidRPr="003922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18998" w14:textId="77777777" w:rsidR="00237273" w:rsidRDefault="00237273" w:rsidP="005E55FD">
      <w:pPr>
        <w:spacing w:after="0" w:line="240" w:lineRule="auto"/>
      </w:pPr>
      <w:r>
        <w:separator/>
      </w:r>
    </w:p>
  </w:endnote>
  <w:endnote w:type="continuationSeparator" w:id="0">
    <w:p w14:paraId="351FAD25" w14:textId="77777777" w:rsidR="00237273" w:rsidRDefault="00237273" w:rsidP="005E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234ED" w14:textId="77777777" w:rsidR="00237273" w:rsidRDefault="00237273" w:rsidP="005E55FD">
      <w:pPr>
        <w:spacing w:after="0" w:line="240" w:lineRule="auto"/>
      </w:pPr>
      <w:r>
        <w:separator/>
      </w:r>
    </w:p>
  </w:footnote>
  <w:footnote w:type="continuationSeparator" w:id="0">
    <w:p w14:paraId="716797D2" w14:textId="77777777" w:rsidR="00237273" w:rsidRDefault="00237273" w:rsidP="005E5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62CE9"/>
    <w:multiLevelType w:val="hybridMultilevel"/>
    <w:tmpl w:val="3970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AC7B17"/>
    <w:multiLevelType w:val="hybridMultilevel"/>
    <w:tmpl w:val="CD0C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437F2A"/>
    <w:multiLevelType w:val="hybridMultilevel"/>
    <w:tmpl w:val="6EA41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F0640A"/>
    <w:multiLevelType w:val="hybridMultilevel"/>
    <w:tmpl w:val="7E2E5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740864"/>
    <w:multiLevelType w:val="hybridMultilevel"/>
    <w:tmpl w:val="2E9A46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E2"/>
    <w:rsid w:val="0000208A"/>
    <w:rsid w:val="00006651"/>
    <w:rsid w:val="00013BAC"/>
    <w:rsid w:val="00017089"/>
    <w:rsid w:val="0002433C"/>
    <w:rsid w:val="00025B6A"/>
    <w:rsid w:val="00027A11"/>
    <w:rsid w:val="00033D0C"/>
    <w:rsid w:val="000413CC"/>
    <w:rsid w:val="00042C23"/>
    <w:rsid w:val="00045038"/>
    <w:rsid w:val="00045C41"/>
    <w:rsid w:val="00053B81"/>
    <w:rsid w:val="00056DCD"/>
    <w:rsid w:val="00060D43"/>
    <w:rsid w:val="00062C4E"/>
    <w:rsid w:val="0007106B"/>
    <w:rsid w:val="0007391A"/>
    <w:rsid w:val="0008023A"/>
    <w:rsid w:val="000865E2"/>
    <w:rsid w:val="00086837"/>
    <w:rsid w:val="00087BB9"/>
    <w:rsid w:val="00092477"/>
    <w:rsid w:val="00096680"/>
    <w:rsid w:val="000971C2"/>
    <w:rsid w:val="000A5B07"/>
    <w:rsid w:val="000A6706"/>
    <w:rsid w:val="000B0694"/>
    <w:rsid w:val="000B4105"/>
    <w:rsid w:val="000B7FD5"/>
    <w:rsid w:val="000C158A"/>
    <w:rsid w:val="000E2175"/>
    <w:rsid w:val="000E29EB"/>
    <w:rsid w:val="00100311"/>
    <w:rsid w:val="00100AE9"/>
    <w:rsid w:val="00110D9F"/>
    <w:rsid w:val="00113F52"/>
    <w:rsid w:val="00117CB2"/>
    <w:rsid w:val="00120779"/>
    <w:rsid w:val="00124254"/>
    <w:rsid w:val="00130883"/>
    <w:rsid w:val="0013143D"/>
    <w:rsid w:val="00133419"/>
    <w:rsid w:val="00135192"/>
    <w:rsid w:val="001355C0"/>
    <w:rsid w:val="0013626C"/>
    <w:rsid w:val="001369AF"/>
    <w:rsid w:val="00145F35"/>
    <w:rsid w:val="0015362A"/>
    <w:rsid w:val="0015405B"/>
    <w:rsid w:val="00162EF1"/>
    <w:rsid w:val="001634E9"/>
    <w:rsid w:val="001732C7"/>
    <w:rsid w:val="0017445C"/>
    <w:rsid w:val="00176D34"/>
    <w:rsid w:val="00181306"/>
    <w:rsid w:val="00184B7E"/>
    <w:rsid w:val="00185E43"/>
    <w:rsid w:val="00192BD6"/>
    <w:rsid w:val="00194FC4"/>
    <w:rsid w:val="00195541"/>
    <w:rsid w:val="00196001"/>
    <w:rsid w:val="001A2D1D"/>
    <w:rsid w:val="001A3EA2"/>
    <w:rsid w:val="001A56CA"/>
    <w:rsid w:val="001B107E"/>
    <w:rsid w:val="001B32BB"/>
    <w:rsid w:val="001B4482"/>
    <w:rsid w:val="001B5DF4"/>
    <w:rsid w:val="001C3781"/>
    <w:rsid w:val="001D193C"/>
    <w:rsid w:val="001D6C89"/>
    <w:rsid w:val="001D7DDA"/>
    <w:rsid w:val="001F0086"/>
    <w:rsid w:val="001F25A4"/>
    <w:rsid w:val="001F3FA1"/>
    <w:rsid w:val="00211948"/>
    <w:rsid w:val="00211BC9"/>
    <w:rsid w:val="00213C09"/>
    <w:rsid w:val="0021635C"/>
    <w:rsid w:val="00216BB5"/>
    <w:rsid w:val="00216F1D"/>
    <w:rsid w:val="002245D3"/>
    <w:rsid w:val="0022727E"/>
    <w:rsid w:val="00231D70"/>
    <w:rsid w:val="00232A29"/>
    <w:rsid w:val="00233323"/>
    <w:rsid w:val="00235F27"/>
    <w:rsid w:val="00237273"/>
    <w:rsid w:val="00237F65"/>
    <w:rsid w:val="00242B26"/>
    <w:rsid w:val="0024340A"/>
    <w:rsid w:val="002451F7"/>
    <w:rsid w:val="002503E2"/>
    <w:rsid w:val="002503F0"/>
    <w:rsid w:val="00250C2F"/>
    <w:rsid w:val="00251393"/>
    <w:rsid w:val="002531CA"/>
    <w:rsid w:val="00255789"/>
    <w:rsid w:val="0026149C"/>
    <w:rsid w:val="00263258"/>
    <w:rsid w:val="002672C0"/>
    <w:rsid w:val="0027343E"/>
    <w:rsid w:val="00282CFE"/>
    <w:rsid w:val="002934EA"/>
    <w:rsid w:val="002969DC"/>
    <w:rsid w:val="002A1C2A"/>
    <w:rsid w:val="002A7126"/>
    <w:rsid w:val="002B300A"/>
    <w:rsid w:val="002B4A8B"/>
    <w:rsid w:val="002B70E8"/>
    <w:rsid w:val="002C364C"/>
    <w:rsid w:val="002C368B"/>
    <w:rsid w:val="002C7246"/>
    <w:rsid w:val="002D3865"/>
    <w:rsid w:val="002D3EDE"/>
    <w:rsid w:val="002F154B"/>
    <w:rsid w:val="002F1D98"/>
    <w:rsid w:val="002F2478"/>
    <w:rsid w:val="002F3D71"/>
    <w:rsid w:val="002F4FC4"/>
    <w:rsid w:val="002F5239"/>
    <w:rsid w:val="003012B4"/>
    <w:rsid w:val="003060FC"/>
    <w:rsid w:val="00312579"/>
    <w:rsid w:val="00315546"/>
    <w:rsid w:val="003226BB"/>
    <w:rsid w:val="00324E66"/>
    <w:rsid w:val="0032734D"/>
    <w:rsid w:val="0032740C"/>
    <w:rsid w:val="0033290F"/>
    <w:rsid w:val="00334632"/>
    <w:rsid w:val="00334D97"/>
    <w:rsid w:val="00351427"/>
    <w:rsid w:val="00352E7C"/>
    <w:rsid w:val="0035467D"/>
    <w:rsid w:val="00354F9F"/>
    <w:rsid w:val="00355064"/>
    <w:rsid w:val="00355122"/>
    <w:rsid w:val="003552E8"/>
    <w:rsid w:val="003578D0"/>
    <w:rsid w:val="00363E0A"/>
    <w:rsid w:val="00370F98"/>
    <w:rsid w:val="003711F0"/>
    <w:rsid w:val="00371CE5"/>
    <w:rsid w:val="00374333"/>
    <w:rsid w:val="003767EE"/>
    <w:rsid w:val="00383B77"/>
    <w:rsid w:val="003845AB"/>
    <w:rsid w:val="0039220D"/>
    <w:rsid w:val="00396F3E"/>
    <w:rsid w:val="003A4802"/>
    <w:rsid w:val="003B1075"/>
    <w:rsid w:val="003B68FC"/>
    <w:rsid w:val="003C0AD2"/>
    <w:rsid w:val="003C3CFE"/>
    <w:rsid w:val="003C5F19"/>
    <w:rsid w:val="003D2879"/>
    <w:rsid w:val="003D5D6F"/>
    <w:rsid w:val="003D6C13"/>
    <w:rsid w:val="003E5DD6"/>
    <w:rsid w:val="003F6F22"/>
    <w:rsid w:val="00413228"/>
    <w:rsid w:val="0041481A"/>
    <w:rsid w:val="00420E8F"/>
    <w:rsid w:val="00426F19"/>
    <w:rsid w:val="0042703C"/>
    <w:rsid w:val="00427F3F"/>
    <w:rsid w:val="004335CE"/>
    <w:rsid w:val="00435793"/>
    <w:rsid w:val="00436BF7"/>
    <w:rsid w:val="0043709C"/>
    <w:rsid w:val="00440120"/>
    <w:rsid w:val="004422FC"/>
    <w:rsid w:val="004438D9"/>
    <w:rsid w:val="00445420"/>
    <w:rsid w:val="0044744A"/>
    <w:rsid w:val="00451ACE"/>
    <w:rsid w:val="00456DBC"/>
    <w:rsid w:val="00457705"/>
    <w:rsid w:val="004620CD"/>
    <w:rsid w:val="004633EC"/>
    <w:rsid w:val="00474C48"/>
    <w:rsid w:val="00476590"/>
    <w:rsid w:val="00476DA4"/>
    <w:rsid w:val="0048396B"/>
    <w:rsid w:val="00484247"/>
    <w:rsid w:val="00484997"/>
    <w:rsid w:val="00485280"/>
    <w:rsid w:val="00492856"/>
    <w:rsid w:val="00494990"/>
    <w:rsid w:val="004A30FE"/>
    <w:rsid w:val="004A7DE3"/>
    <w:rsid w:val="004B3235"/>
    <w:rsid w:val="004B579A"/>
    <w:rsid w:val="004B6427"/>
    <w:rsid w:val="004B6441"/>
    <w:rsid w:val="004C1483"/>
    <w:rsid w:val="004C47F3"/>
    <w:rsid w:val="004C4E00"/>
    <w:rsid w:val="004D16F6"/>
    <w:rsid w:val="004D1B19"/>
    <w:rsid w:val="004D47C1"/>
    <w:rsid w:val="004E13CA"/>
    <w:rsid w:val="004E402A"/>
    <w:rsid w:val="004E4B75"/>
    <w:rsid w:val="004E5094"/>
    <w:rsid w:val="004F2051"/>
    <w:rsid w:val="004F687E"/>
    <w:rsid w:val="004F7351"/>
    <w:rsid w:val="004F7E4E"/>
    <w:rsid w:val="0050251B"/>
    <w:rsid w:val="005030C8"/>
    <w:rsid w:val="00526336"/>
    <w:rsid w:val="0053263D"/>
    <w:rsid w:val="0053697D"/>
    <w:rsid w:val="00536C43"/>
    <w:rsid w:val="0054026B"/>
    <w:rsid w:val="00544102"/>
    <w:rsid w:val="00544F8B"/>
    <w:rsid w:val="00545093"/>
    <w:rsid w:val="0054512B"/>
    <w:rsid w:val="005471C7"/>
    <w:rsid w:val="00552AD8"/>
    <w:rsid w:val="005533D6"/>
    <w:rsid w:val="00556D26"/>
    <w:rsid w:val="00560C5B"/>
    <w:rsid w:val="00561263"/>
    <w:rsid w:val="00561CF3"/>
    <w:rsid w:val="005639C3"/>
    <w:rsid w:val="0056703C"/>
    <w:rsid w:val="00567BDE"/>
    <w:rsid w:val="00571477"/>
    <w:rsid w:val="00572EAC"/>
    <w:rsid w:val="00574541"/>
    <w:rsid w:val="00585A5F"/>
    <w:rsid w:val="00585BAA"/>
    <w:rsid w:val="005904AF"/>
    <w:rsid w:val="005919F2"/>
    <w:rsid w:val="0059203C"/>
    <w:rsid w:val="005967C8"/>
    <w:rsid w:val="0059709A"/>
    <w:rsid w:val="00597780"/>
    <w:rsid w:val="00597DC3"/>
    <w:rsid w:val="005A1073"/>
    <w:rsid w:val="005A173F"/>
    <w:rsid w:val="005A731F"/>
    <w:rsid w:val="005B20FB"/>
    <w:rsid w:val="005B79CB"/>
    <w:rsid w:val="005C62A1"/>
    <w:rsid w:val="005D0B28"/>
    <w:rsid w:val="005D4B51"/>
    <w:rsid w:val="005D7632"/>
    <w:rsid w:val="005E0D3E"/>
    <w:rsid w:val="005E55FD"/>
    <w:rsid w:val="005F2A91"/>
    <w:rsid w:val="005F4538"/>
    <w:rsid w:val="005F5DF6"/>
    <w:rsid w:val="005F6938"/>
    <w:rsid w:val="005F7887"/>
    <w:rsid w:val="006001D9"/>
    <w:rsid w:val="00605B09"/>
    <w:rsid w:val="006069FE"/>
    <w:rsid w:val="006076C5"/>
    <w:rsid w:val="00607915"/>
    <w:rsid w:val="00611041"/>
    <w:rsid w:val="006159EA"/>
    <w:rsid w:val="00616C28"/>
    <w:rsid w:val="00620C04"/>
    <w:rsid w:val="0062225B"/>
    <w:rsid w:val="00631BEA"/>
    <w:rsid w:val="0063725A"/>
    <w:rsid w:val="00637E29"/>
    <w:rsid w:val="00641178"/>
    <w:rsid w:val="00642118"/>
    <w:rsid w:val="00645632"/>
    <w:rsid w:val="006469DC"/>
    <w:rsid w:val="006505F3"/>
    <w:rsid w:val="00650DBD"/>
    <w:rsid w:val="00652968"/>
    <w:rsid w:val="00653931"/>
    <w:rsid w:val="00654F78"/>
    <w:rsid w:val="00666DF8"/>
    <w:rsid w:val="00693E0A"/>
    <w:rsid w:val="0069493D"/>
    <w:rsid w:val="006A33B9"/>
    <w:rsid w:val="006B31BC"/>
    <w:rsid w:val="006B72ED"/>
    <w:rsid w:val="006C26E8"/>
    <w:rsid w:val="006D0FB8"/>
    <w:rsid w:val="006D1C3D"/>
    <w:rsid w:val="006E0CA8"/>
    <w:rsid w:val="006E4893"/>
    <w:rsid w:val="006E739E"/>
    <w:rsid w:val="006F70CF"/>
    <w:rsid w:val="0070102F"/>
    <w:rsid w:val="00704234"/>
    <w:rsid w:val="007042FC"/>
    <w:rsid w:val="00704490"/>
    <w:rsid w:val="00706770"/>
    <w:rsid w:val="00711CAF"/>
    <w:rsid w:val="00716CC7"/>
    <w:rsid w:val="007170E3"/>
    <w:rsid w:val="00727AB1"/>
    <w:rsid w:val="007309D3"/>
    <w:rsid w:val="007319AA"/>
    <w:rsid w:val="007327FE"/>
    <w:rsid w:val="00732898"/>
    <w:rsid w:val="007379B3"/>
    <w:rsid w:val="00742D03"/>
    <w:rsid w:val="007471B2"/>
    <w:rsid w:val="0074757F"/>
    <w:rsid w:val="00753724"/>
    <w:rsid w:val="00763218"/>
    <w:rsid w:val="007643D7"/>
    <w:rsid w:val="00771269"/>
    <w:rsid w:val="0077310A"/>
    <w:rsid w:val="00773D04"/>
    <w:rsid w:val="007745B6"/>
    <w:rsid w:val="00781DBB"/>
    <w:rsid w:val="00782F6D"/>
    <w:rsid w:val="007849FE"/>
    <w:rsid w:val="007856F1"/>
    <w:rsid w:val="00786762"/>
    <w:rsid w:val="00786E46"/>
    <w:rsid w:val="00787072"/>
    <w:rsid w:val="00792D5A"/>
    <w:rsid w:val="007946B3"/>
    <w:rsid w:val="007A1CEB"/>
    <w:rsid w:val="007A30C6"/>
    <w:rsid w:val="007B3B9E"/>
    <w:rsid w:val="007B517B"/>
    <w:rsid w:val="007B7047"/>
    <w:rsid w:val="007C2EB2"/>
    <w:rsid w:val="007C376C"/>
    <w:rsid w:val="007C7F04"/>
    <w:rsid w:val="007D45A4"/>
    <w:rsid w:val="007D5667"/>
    <w:rsid w:val="007D79C1"/>
    <w:rsid w:val="007D7D47"/>
    <w:rsid w:val="007E357A"/>
    <w:rsid w:val="007E3DC6"/>
    <w:rsid w:val="007E633D"/>
    <w:rsid w:val="008000FE"/>
    <w:rsid w:val="00814D5B"/>
    <w:rsid w:val="00814EC6"/>
    <w:rsid w:val="00816C69"/>
    <w:rsid w:val="00821FAB"/>
    <w:rsid w:val="00822EDC"/>
    <w:rsid w:val="0082319D"/>
    <w:rsid w:val="00825F84"/>
    <w:rsid w:val="00830A43"/>
    <w:rsid w:val="00836DBA"/>
    <w:rsid w:val="008373E3"/>
    <w:rsid w:val="00841DE7"/>
    <w:rsid w:val="00842BAE"/>
    <w:rsid w:val="00846677"/>
    <w:rsid w:val="008473D3"/>
    <w:rsid w:val="00847D67"/>
    <w:rsid w:val="00850810"/>
    <w:rsid w:val="008559FC"/>
    <w:rsid w:val="00865615"/>
    <w:rsid w:val="00865F41"/>
    <w:rsid w:val="0086665B"/>
    <w:rsid w:val="00881C95"/>
    <w:rsid w:val="008872C6"/>
    <w:rsid w:val="00895E78"/>
    <w:rsid w:val="008A3940"/>
    <w:rsid w:val="008A6E36"/>
    <w:rsid w:val="008B6CE5"/>
    <w:rsid w:val="008B7E95"/>
    <w:rsid w:val="008C0D92"/>
    <w:rsid w:val="008C44BA"/>
    <w:rsid w:val="008C4E1D"/>
    <w:rsid w:val="008C6507"/>
    <w:rsid w:val="008D32AC"/>
    <w:rsid w:val="008E0191"/>
    <w:rsid w:val="008E51B1"/>
    <w:rsid w:val="008E6AF7"/>
    <w:rsid w:val="008F119E"/>
    <w:rsid w:val="008F487D"/>
    <w:rsid w:val="008F5C14"/>
    <w:rsid w:val="00900D37"/>
    <w:rsid w:val="00901231"/>
    <w:rsid w:val="00910567"/>
    <w:rsid w:val="00914381"/>
    <w:rsid w:val="00920E34"/>
    <w:rsid w:val="00924AA0"/>
    <w:rsid w:val="00924E2E"/>
    <w:rsid w:val="00927BD2"/>
    <w:rsid w:val="00934166"/>
    <w:rsid w:val="00934715"/>
    <w:rsid w:val="0095249B"/>
    <w:rsid w:val="009660B5"/>
    <w:rsid w:val="00972045"/>
    <w:rsid w:val="00972CDD"/>
    <w:rsid w:val="00974051"/>
    <w:rsid w:val="0098062F"/>
    <w:rsid w:val="00990143"/>
    <w:rsid w:val="00990C80"/>
    <w:rsid w:val="00991145"/>
    <w:rsid w:val="009932DA"/>
    <w:rsid w:val="009972BA"/>
    <w:rsid w:val="009A0D2E"/>
    <w:rsid w:val="009A0E99"/>
    <w:rsid w:val="009A1F18"/>
    <w:rsid w:val="009A26B4"/>
    <w:rsid w:val="009A4738"/>
    <w:rsid w:val="009C16EA"/>
    <w:rsid w:val="009C4331"/>
    <w:rsid w:val="009C5416"/>
    <w:rsid w:val="009C6EB5"/>
    <w:rsid w:val="009C7DE6"/>
    <w:rsid w:val="009D2A6F"/>
    <w:rsid w:val="009E39A6"/>
    <w:rsid w:val="009E5B3C"/>
    <w:rsid w:val="009F011B"/>
    <w:rsid w:val="009F1995"/>
    <w:rsid w:val="009F39E9"/>
    <w:rsid w:val="009F774E"/>
    <w:rsid w:val="00A00637"/>
    <w:rsid w:val="00A07F65"/>
    <w:rsid w:val="00A1147D"/>
    <w:rsid w:val="00A12F36"/>
    <w:rsid w:val="00A16F61"/>
    <w:rsid w:val="00A3339E"/>
    <w:rsid w:val="00A34D81"/>
    <w:rsid w:val="00A3669B"/>
    <w:rsid w:val="00A36C2A"/>
    <w:rsid w:val="00A36C8B"/>
    <w:rsid w:val="00A40DCB"/>
    <w:rsid w:val="00A44AF7"/>
    <w:rsid w:val="00A530BE"/>
    <w:rsid w:val="00A53414"/>
    <w:rsid w:val="00A54A48"/>
    <w:rsid w:val="00A557CB"/>
    <w:rsid w:val="00A6356C"/>
    <w:rsid w:val="00A72805"/>
    <w:rsid w:val="00A743B5"/>
    <w:rsid w:val="00A80D5F"/>
    <w:rsid w:val="00A94CB2"/>
    <w:rsid w:val="00AA297C"/>
    <w:rsid w:val="00AB28F1"/>
    <w:rsid w:val="00AB43A7"/>
    <w:rsid w:val="00AB6E41"/>
    <w:rsid w:val="00AB7480"/>
    <w:rsid w:val="00AC0AE2"/>
    <w:rsid w:val="00AC178A"/>
    <w:rsid w:val="00AD0E49"/>
    <w:rsid w:val="00AD3D68"/>
    <w:rsid w:val="00AD6424"/>
    <w:rsid w:val="00AD708F"/>
    <w:rsid w:val="00AE1D30"/>
    <w:rsid w:val="00AE3F28"/>
    <w:rsid w:val="00AF1ABA"/>
    <w:rsid w:val="00AF262E"/>
    <w:rsid w:val="00AF2AF5"/>
    <w:rsid w:val="00AF4702"/>
    <w:rsid w:val="00AF636A"/>
    <w:rsid w:val="00AF778F"/>
    <w:rsid w:val="00B039DD"/>
    <w:rsid w:val="00B0592A"/>
    <w:rsid w:val="00B06E82"/>
    <w:rsid w:val="00B20389"/>
    <w:rsid w:val="00B33DDF"/>
    <w:rsid w:val="00B34496"/>
    <w:rsid w:val="00B37B2D"/>
    <w:rsid w:val="00B40EC0"/>
    <w:rsid w:val="00B4698E"/>
    <w:rsid w:val="00B56563"/>
    <w:rsid w:val="00B605C8"/>
    <w:rsid w:val="00B60E96"/>
    <w:rsid w:val="00B64305"/>
    <w:rsid w:val="00B70C2A"/>
    <w:rsid w:val="00B7167A"/>
    <w:rsid w:val="00B729D2"/>
    <w:rsid w:val="00B7568F"/>
    <w:rsid w:val="00B75ED2"/>
    <w:rsid w:val="00B82FFD"/>
    <w:rsid w:val="00B93ACD"/>
    <w:rsid w:val="00BA62C1"/>
    <w:rsid w:val="00BB09F2"/>
    <w:rsid w:val="00BB5CB2"/>
    <w:rsid w:val="00BB6E3E"/>
    <w:rsid w:val="00BC0A53"/>
    <w:rsid w:val="00BD2D95"/>
    <w:rsid w:val="00BE091B"/>
    <w:rsid w:val="00BE3CE7"/>
    <w:rsid w:val="00BE6F87"/>
    <w:rsid w:val="00BF5C97"/>
    <w:rsid w:val="00C0659E"/>
    <w:rsid w:val="00C072ED"/>
    <w:rsid w:val="00C12CEB"/>
    <w:rsid w:val="00C12CFA"/>
    <w:rsid w:val="00C15D3A"/>
    <w:rsid w:val="00C24687"/>
    <w:rsid w:val="00C30298"/>
    <w:rsid w:val="00C33180"/>
    <w:rsid w:val="00C37D30"/>
    <w:rsid w:val="00C42834"/>
    <w:rsid w:val="00C43738"/>
    <w:rsid w:val="00C46E6B"/>
    <w:rsid w:val="00C5363F"/>
    <w:rsid w:val="00C53CE0"/>
    <w:rsid w:val="00C55609"/>
    <w:rsid w:val="00C57141"/>
    <w:rsid w:val="00C6045A"/>
    <w:rsid w:val="00C6200A"/>
    <w:rsid w:val="00C65A5C"/>
    <w:rsid w:val="00C66697"/>
    <w:rsid w:val="00C719D1"/>
    <w:rsid w:val="00C74D71"/>
    <w:rsid w:val="00C74E0C"/>
    <w:rsid w:val="00C75D56"/>
    <w:rsid w:val="00C8222A"/>
    <w:rsid w:val="00C829BF"/>
    <w:rsid w:val="00C85175"/>
    <w:rsid w:val="00C86C81"/>
    <w:rsid w:val="00C87FBA"/>
    <w:rsid w:val="00C87FD0"/>
    <w:rsid w:val="00C9053D"/>
    <w:rsid w:val="00CA210F"/>
    <w:rsid w:val="00CA53EA"/>
    <w:rsid w:val="00CA7983"/>
    <w:rsid w:val="00CB08A3"/>
    <w:rsid w:val="00CB35B8"/>
    <w:rsid w:val="00CB5923"/>
    <w:rsid w:val="00CB6FF1"/>
    <w:rsid w:val="00CC0C2B"/>
    <w:rsid w:val="00CC239D"/>
    <w:rsid w:val="00CC44D8"/>
    <w:rsid w:val="00CE43E5"/>
    <w:rsid w:val="00CE7CA2"/>
    <w:rsid w:val="00D047EE"/>
    <w:rsid w:val="00D10FF0"/>
    <w:rsid w:val="00D12547"/>
    <w:rsid w:val="00D13D93"/>
    <w:rsid w:val="00D146FC"/>
    <w:rsid w:val="00D25116"/>
    <w:rsid w:val="00D26871"/>
    <w:rsid w:val="00D270D7"/>
    <w:rsid w:val="00D31921"/>
    <w:rsid w:val="00D33F47"/>
    <w:rsid w:val="00D35DF7"/>
    <w:rsid w:val="00D36E2A"/>
    <w:rsid w:val="00D378E9"/>
    <w:rsid w:val="00D61A05"/>
    <w:rsid w:val="00D64945"/>
    <w:rsid w:val="00D7110B"/>
    <w:rsid w:val="00D772E6"/>
    <w:rsid w:val="00D77E40"/>
    <w:rsid w:val="00D8011E"/>
    <w:rsid w:val="00D84EB2"/>
    <w:rsid w:val="00D9161A"/>
    <w:rsid w:val="00D952A7"/>
    <w:rsid w:val="00D953F7"/>
    <w:rsid w:val="00D97009"/>
    <w:rsid w:val="00DA127D"/>
    <w:rsid w:val="00DA6FFE"/>
    <w:rsid w:val="00DA7DEB"/>
    <w:rsid w:val="00DB1C5E"/>
    <w:rsid w:val="00DB344E"/>
    <w:rsid w:val="00DB3DFE"/>
    <w:rsid w:val="00DC4A8F"/>
    <w:rsid w:val="00DE0D5C"/>
    <w:rsid w:val="00DE5E9F"/>
    <w:rsid w:val="00DF0A62"/>
    <w:rsid w:val="00DF3EA4"/>
    <w:rsid w:val="00DF458B"/>
    <w:rsid w:val="00DF6A74"/>
    <w:rsid w:val="00E001E0"/>
    <w:rsid w:val="00E13245"/>
    <w:rsid w:val="00E13784"/>
    <w:rsid w:val="00E1595B"/>
    <w:rsid w:val="00E20116"/>
    <w:rsid w:val="00E32338"/>
    <w:rsid w:val="00E37515"/>
    <w:rsid w:val="00E434FD"/>
    <w:rsid w:val="00E43633"/>
    <w:rsid w:val="00E44A65"/>
    <w:rsid w:val="00E44FF2"/>
    <w:rsid w:val="00E5005C"/>
    <w:rsid w:val="00E50E09"/>
    <w:rsid w:val="00E5559C"/>
    <w:rsid w:val="00E57A27"/>
    <w:rsid w:val="00E63540"/>
    <w:rsid w:val="00E6410B"/>
    <w:rsid w:val="00E6726F"/>
    <w:rsid w:val="00E73E0B"/>
    <w:rsid w:val="00E901FD"/>
    <w:rsid w:val="00E90596"/>
    <w:rsid w:val="00E90946"/>
    <w:rsid w:val="00EA5B6D"/>
    <w:rsid w:val="00EB3715"/>
    <w:rsid w:val="00EB5D3F"/>
    <w:rsid w:val="00EC54B5"/>
    <w:rsid w:val="00EC5565"/>
    <w:rsid w:val="00EC5D82"/>
    <w:rsid w:val="00EC5DD7"/>
    <w:rsid w:val="00ED284B"/>
    <w:rsid w:val="00ED54C2"/>
    <w:rsid w:val="00ED700F"/>
    <w:rsid w:val="00EE3584"/>
    <w:rsid w:val="00EE4387"/>
    <w:rsid w:val="00EE53A6"/>
    <w:rsid w:val="00EE7194"/>
    <w:rsid w:val="00EF2A1A"/>
    <w:rsid w:val="00F0265C"/>
    <w:rsid w:val="00F041A8"/>
    <w:rsid w:val="00F04384"/>
    <w:rsid w:val="00F0560F"/>
    <w:rsid w:val="00F16B51"/>
    <w:rsid w:val="00F20212"/>
    <w:rsid w:val="00F24374"/>
    <w:rsid w:val="00F27FAB"/>
    <w:rsid w:val="00F3172A"/>
    <w:rsid w:val="00F371F1"/>
    <w:rsid w:val="00F3744F"/>
    <w:rsid w:val="00F42266"/>
    <w:rsid w:val="00F43912"/>
    <w:rsid w:val="00F530F4"/>
    <w:rsid w:val="00F61566"/>
    <w:rsid w:val="00F6374B"/>
    <w:rsid w:val="00F658AD"/>
    <w:rsid w:val="00F658B4"/>
    <w:rsid w:val="00F674F5"/>
    <w:rsid w:val="00F735B1"/>
    <w:rsid w:val="00F80E18"/>
    <w:rsid w:val="00F82023"/>
    <w:rsid w:val="00F835F3"/>
    <w:rsid w:val="00F86982"/>
    <w:rsid w:val="00F9104D"/>
    <w:rsid w:val="00FA7D67"/>
    <w:rsid w:val="00FB03B1"/>
    <w:rsid w:val="00FB249F"/>
    <w:rsid w:val="00FB5ED5"/>
    <w:rsid w:val="00FC4937"/>
    <w:rsid w:val="00FC5DDB"/>
    <w:rsid w:val="00FD014C"/>
    <w:rsid w:val="00FD2FBC"/>
    <w:rsid w:val="00FD4398"/>
    <w:rsid w:val="00FD7469"/>
    <w:rsid w:val="00FE1371"/>
    <w:rsid w:val="00FE468A"/>
    <w:rsid w:val="00FE6A73"/>
    <w:rsid w:val="00FF0C07"/>
    <w:rsid w:val="00FF5E52"/>
    <w:rsid w:val="00FF7AA4"/>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8577C"/>
  <w15:chartTrackingRefBased/>
  <w15:docId w15:val="{64D81DA4-DFB2-4332-952D-9A473396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DBC"/>
    <w:pPr>
      <w:ind w:left="720"/>
      <w:contextualSpacing/>
    </w:pPr>
  </w:style>
  <w:style w:type="character" w:styleId="Hyperlink">
    <w:name w:val="Hyperlink"/>
    <w:basedOn w:val="DefaultParagraphFont"/>
    <w:uiPriority w:val="99"/>
    <w:unhideWhenUsed/>
    <w:rsid w:val="00F530F4"/>
    <w:rPr>
      <w:color w:val="0563C1" w:themeColor="hyperlink"/>
      <w:u w:val="single"/>
    </w:rPr>
  </w:style>
  <w:style w:type="character" w:styleId="UnresolvedMention">
    <w:name w:val="Unresolved Mention"/>
    <w:basedOn w:val="DefaultParagraphFont"/>
    <w:uiPriority w:val="99"/>
    <w:semiHidden/>
    <w:unhideWhenUsed/>
    <w:rsid w:val="00F530F4"/>
    <w:rPr>
      <w:color w:val="605E5C"/>
      <w:shd w:val="clear" w:color="auto" w:fill="E1DFDD"/>
    </w:rPr>
  </w:style>
  <w:style w:type="character" w:styleId="CommentReference">
    <w:name w:val="annotation reference"/>
    <w:basedOn w:val="DefaultParagraphFont"/>
    <w:uiPriority w:val="99"/>
    <w:semiHidden/>
    <w:unhideWhenUsed/>
    <w:rsid w:val="00135192"/>
    <w:rPr>
      <w:sz w:val="16"/>
      <w:szCs w:val="16"/>
    </w:rPr>
  </w:style>
  <w:style w:type="paragraph" w:styleId="CommentText">
    <w:name w:val="annotation text"/>
    <w:basedOn w:val="Normal"/>
    <w:link w:val="CommentTextChar"/>
    <w:uiPriority w:val="99"/>
    <w:semiHidden/>
    <w:unhideWhenUsed/>
    <w:rsid w:val="00135192"/>
    <w:pPr>
      <w:spacing w:line="240" w:lineRule="auto"/>
    </w:pPr>
    <w:rPr>
      <w:sz w:val="20"/>
      <w:szCs w:val="20"/>
    </w:rPr>
  </w:style>
  <w:style w:type="character" w:customStyle="1" w:styleId="CommentTextChar">
    <w:name w:val="Comment Text Char"/>
    <w:basedOn w:val="DefaultParagraphFont"/>
    <w:link w:val="CommentText"/>
    <w:uiPriority w:val="99"/>
    <w:semiHidden/>
    <w:rsid w:val="00135192"/>
    <w:rPr>
      <w:sz w:val="20"/>
      <w:szCs w:val="20"/>
    </w:rPr>
  </w:style>
  <w:style w:type="paragraph" w:styleId="CommentSubject">
    <w:name w:val="annotation subject"/>
    <w:basedOn w:val="CommentText"/>
    <w:next w:val="CommentText"/>
    <w:link w:val="CommentSubjectChar"/>
    <w:uiPriority w:val="99"/>
    <w:semiHidden/>
    <w:unhideWhenUsed/>
    <w:rsid w:val="00135192"/>
    <w:rPr>
      <w:b/>
      <w:bCs/>
    </w:rPr>
  </w:style>
  <w:style w:type="character" w:customStyle="1" w:styleId="CommentSubjectChar">
    <w:name w:val="Comment Subject Char"/>
    <w:basedOn w:val="CommentTextChar"/>
    <w:link w:val="CommentSubject"/>
    <w:uiPriority w:val="99"/>
    <w:semiHidden/>
    <w:rsid w:val="00135192"/>
    <w:rPr>
      <w:b/>
      <w:bCs/>
      <w:sz w:val="20"/>
      <w:szCs w:val="20"/>
    </w:rPr>
  </w:style>
  <w:style w:type="paragraph" w:styleId="BalloonText">
    <w:name w:val="Balloon Text"/>
    <w:basedOn w:val="Normal"/>
    <w:link w:val="BalloonTextChar"/>
    <w:uiPriority w:val="99"/>
    <w:semiHidden/>
    <w:unhideWhenUsed/>
    <w:rsid w:val="00135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92"/>
    <w:rPr>
      <w:rFonts w:ascii="Segoe UI" w:hAnsi="Segoe UI" w:cs="Segoe UI"/>
      <w:sz w:val="18"/>
      <w:szCs w:val="18"/>
    </w:rPr>
  </w:style>
  <w:style w:type="character" w:styleId="FollowedHyperlink">
    <w:name w:val="FollowedHyperlink"/>
    <w:basedOn w:val="DefaultParagraphFont"/>
    <w:uiPriority w:val="99"/>
    <w:semiHidden/>
    <w:unhideWhenUsed/>
    <w:rsid w:val="006D1C3D"/>
    <w:rPr>
      <w:color w:val="954F72" w:themeColor="followedHyperlink"/>
      <w:u w:val="single"/>
    </w:rPr>
  </w:style>
  <w:style w:type="paragraph" w:styleId="BodyText">
    <w:name w:val="Body Text"/>
    <w:basedOn w:val="Normal"/>
    <w:link w:val="BodyTextChar"/>
    <w:uiPriority w:val="1"/>
    <w:qFormat/>
    <w:rsid w:val="008E6AF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6AF7"/>
    <w:rPr>
      <w:rFonts w:ascii="Arial" w:eastAsia="Arial" w:hAnsi="Arial" w:cs="Arial"/>
      <w:sz w:val="24"/>
      <w:szCs w:val="24"/>
      <w:lang w:val="en-US"/>
    </w:rPr>
  </w:style>
  <w:style w:type="paragraph" w:styleId="NormalWeb">
    <w:name w:val="Normal (Web)"/>
    <w:basedOn w:val="Normal"/>
    <w:uiPriority w:val="99"/>
    <w:semiHidden/>
    <w:unhideWhenUsed/>
    <w:rsid w:val="003329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D3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14122">
      <w:bodyDiv w:val="1"/>
      <w:marLeft w:val="0"/>
      <w:marRight w:val="0"/>
      <w:marTop w:val="0"/>
      <w:marBottom w:val="0"/>
      <w:divBdr>
        <w:top w:val="none" w:sz="0" w:space="0" w:color="auto"/>
        <w:left w:val="none" w:sz="0" w:space="0" w:color="auto"/>
        <w:bottom w:val="none" w:sz="0" w:space="0" w:color="auto"/>
        <w:right w:val="none" w:sz="0" w:space="0" w:color="auto"/>
      </w:divBdr>
    </w:div>
    <w:div w:id="629945081">
      <w:bodyDiv w:val="1"/>
      <w:marLeft w:val="0"/>
      <w:marRight w:val="0"/>
      <w:marTop w:val="0"/>
      <w:marBottom w:val="0"/>
      <w:divBdr>
        <w:top w:val="none" w:sz="0" w:space="0" w:color="auto"/>
        <w:left w:val="none" w:sz="0" w:space="0" w:color="auto"/>
        <w:bottom w:val="none" w:sz="0" w:space="0" w:color="auto"/>
        <w:right w:val="none" w:sz="0" w:space="0" w:color="auto"/>
      </w:divBdr>
    </w:div>
    <w:div w:id="172799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aglobal.com/content/dam/ACCA_Global/Technical/aml/4360_OPBAS_FAQ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thorisation@accaglobal.com" TargetMode="External"/><Relationship Id="rId17" Type="http://schemas.openxmlformats.org/officeDocument/2006/relationships/hyperlink" Target="https://gbr01.safelinks.protection.outlook.com/?url=https%3A%2F%2Fwww.accaglobal.com%2Fgb%2Fen%2Fabout-us%2Fregulation%2Fdisciplinary-and-regulatory-hearings.html&amp;data=02%7C01%7CFungai.Matiyanganga%40accaglobal.com%7Cd4b9886b94e84b7b8e2c08d6dddb7988%7Cf2e7de2c59ba49fe8c684cd333f96b01%7C0%7C0%7C636940332034087388&amp;sdata=ANxJPWjTtjjN2LFUtahz0ZhDGVnAs775F%2BpCsw2MXwM%3D&amp;reserved=0" TargetMode="External"/><Relationship Id="rId2" Type="http://schemas.openxmlformats.org/officeDocument/2006/relationships/customXml" Target="../customXml/item2.xml"/><Relationship Id="rId16" Type="http://schemas.openxmlformats.org/officeDocument/2006/relationships/hyperlink" Target="https://www.accaglobal.com/gb/en/technical-activities/technical-resources-search/2019/may/aml-guidanc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a.org.uk/publication/opbas/opbas-sourcebook.pdf" TargetMode="External"/><Relationship Id="rId5" Type="http://schemas.openxmlformats.org/officeDocument/2006/relationships/styles" Target="styles.xml"/><Relationship Id="rId15" Type="http://schemas.openxmlformats.org/officeDocument/2006/relationships/hyperlink" Target="https://www.accaglobal.com/gb/en/technical-activities/technical-resources-search/2018/april/Anti-money-laundering-guidance.html" TargetMode="External"/><Relationship Id="rId10" Type="http://schemas.openxmlformats.org/officeDocument/2006/relationships/hyperlink" Target="https://www.fca.org.uk/opb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aglobal.com/gb/en/technical-activities/data-and-information-secur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06EE447BAA348B68B448EA51CDF03" ma:contentTypeVersion="13" ma:contentTypeDescription="Create a new document." ma:contentTypeScope="" ma:versionID="0f52b75905a832191853162d20a73cd0">
  <xsd:schema xmlns:xsd="http://www.w3.org/2001/XMLSchema" xmlns:xs="http://www.w3.org/2001/XMLSchema" xmlns:p="http://schemas.microsoft.com/office/2006/metadata/properties" xmlns:ns3="d3197d30-c7b6-4274-b863-7e34421eb7a1" xmlns:ns4="e26c4e50-ea9b-4192-94d2-e70236926e53" targetNamespace="http://schemas.microsoft.com/office/2006/metadata/properties" ma:root="true" ma:fieldsID="6c986fdf8c7b6884b363db93d247c227" ns3:_="" ns4:_="">
    <xsd:import namespace="d3197d30-c7b6-4274-b863-7e34421eb7a1"/>
    <xsd:import namespace="e26c4e50-ea9b-4192-94d2-e70236926e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97d30-c7b6-4274-b863-7e34421eb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c4e50-ea9b-4192-94d2-e70236926e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60F6F-CA61-4DEA-B711-52165FF61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25D96-2679-43C8-B660-100BB97C2957}">
  <ds:schemaRefs>
    <ds:schemaRef ds:uri="http://schemas.microsoft.com/sharepoint/v3/contenttype/forms"/>
  </ds:schemaRefs>
</ds:datastoreItem>
</file>

<file path=customXml/itemProps3.xml><?xml version="1.0" encoding="utf-8"?>
<ds:datastoreItem xmlns:ds="http://schemas.openxmlformats.org/officeDocument/2006/customXml" ds:itemID="{138BEAC1-74B1-44B6-AE3C-018C4EF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97d30-c7b6-4274-b863-7e34421eb7a1"/>
    <ds:schemaRef ds:uri="e26c4e50-ea9b-4192-94d2-e7023692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Fungai Matiyanganga</dc:creator>
  <cp:keywords/>
  <dc:description/>
  <cp:lastModifiedBy>Aidan Clifford</cp:lastModifiedBy>
  <cp:revision>15</cp:revision>
  <cp:lastPrinted>2020-04-27T15:52:00Z</cp:lastPrinted>
  <dcterms:created xsi:type="dcterms:W3CDTF">2021-06-16T10:55:00Z</dcterms:created>
  <dcterms:modified xsi:type="dcterms:W3CDTF">2021-06-16T11:07:00Z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0x010100D3D06EE447BAA348B68B448EA51CDF03</vt:lpwstr>
  </property>
</Properties>
</file>