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7F908A" w14:textId="77777777" w:rsidR="00352FDE" w:rsidRPr="008E05B4" w:rsidRDefault="00352FDE" w:rsidP="00352FDE">
      <w:pPr>
        <w:rPr>
          <w:rFonts w:ascii="Arial" w:hAnsi="Arial" w:cs="Arial"/>
          <w:sz w:val="36"/>
          <w:szCs w:val="36"/>
          <w:lang w:val="en-US"/>
        </w:rPr>
      </w:pPr>
      <w:bookmarkStart w:id="0" w:name="_Hlk37248808"/>
      <w:r w:rsidRPr="008E05B4">
        <w:rPr>
          <w:rFonts w:ascii="Arial" w:hAnsi="Arial" w:cs="Arial"/>
          <w:sz w:val="36"/>
          <w:szCs w:val="36"/>
          <w:lang w:val="en-US"/>
        </w:rPr>
        <w:t>Technical factsheet</w:t>
      </w:r>
    </w:p>
    <w:p w14:paraId="41D8CD2F" w14:textId="77777777" w:rsidR="00352FDE" w:rsidRPr="008E05B4" w:rsidRDefault="00352FDE" w:rsidP="00352FDE">
      <w:pPr>
        <w:rPr>
          <w:rFonts w:ascii="Arial" w:hAnsi="Arial" w:cs="Arial"/>
          <w:sz w:val="36"/>
          <w:szCs w:val="36"/>
          <w:lang w:val="en-US"/>
        </w:rPr>
      </w:pPr>
    </w:p>
    <w:p w14:paraId="35444FC1" w14:textId="77777777" w:rsidR="00352FDE" w:rsidRPr="008E05B4" w:rsidRDefault="00352FDE" w:rsidP="00352FDE">
      <w:pPr>
        <w:rPr>
          <w:rFonts w:ascii="Arial" w:hAnsi="Arial" w:cs="Arial"/>
          <w:sz w:val="36"/>
          <w:szCs w:val="36"/>
          <w:lang w:val="en-US"/>
        </w:rPr>
      </w:pPr>
      <w:r>
        <w:rPr>
          <w:rFonts w:ascii="Arial" w:hAnsi="Arial" w:cs="Arial"/>
          <w:sz w:val="36"/>
          <w:szCs w:val="36"/>
          <w:lang w:val="en-US"/>
        </w:rPr>
        <w:t>Identifying Client Risk</w:t>
      </w:r>
    </w:p>
    <w:p w14:paraId="2542ED73" w14:textId="77777777" w:rsidR="00865181" w:rsidRDefault="00865181" w:rsidP="00352FDE">
      <w:pPr>
        <w:rPr>
          <w:rFonts w:ascii="Arial" w:eastAsia="Times New Roman" w:hAnsi="Arial" w:cs="Arial"/>
          <w:i/>
          <w:iCs/>
          <w:color w:val="000000" w:themeColor="text1"/>
          <w:sz w:val="24"/>
          <w:szCs w:val="24"/>
          <w:shd w:val="clear" w:color="auto" w:fill="FFFFFF"/>
        </w:rPr>
      </w:pPr>
    </w:p>
    <w:p w14:paraId="5B71DE44" w14:textId="139C09FB" w:rsidR="00352FDE" w:rsidRDefault="00352FDE" w:rsidP="00352FDE">
      <w:pPr>
        <w:rPr>
          <w:rFonts w:ascii="Arial" w:hAnsi="Arial" w:cs="Arial"/>
          <w:b/>
          <w:bCs/>
          <w:sz w:val="24"/>
          <w:szCs w:val="24"/>
          <w:lang w:val="en-US"/>
        </w:rPr>
      </w:pPr>
      <w:r>
        <w:rPr>
          <w:rFonts w:ascii="Arial" w:hAnsi="Arial" w:cs="Arial"/>
          <w:b/>
          <w:bCs/>
          <w:sz w:val="24"/>
          <w:szCs w:val="24"/>
          <w:lang w:val="en-US"/>
        </w:rPr>
        <w:t>Introduction</w:t>
      </w:r>
    </w:p>
    <w:p w14:paraId="77510BBC" w14:textId="2F84EA7C" w:rsidR="00865181" w:rsidRPr="00865181" w:rsidRDefault="00352FDE" w:rsidP="00865181">
      <w:pPr>
        <w:rPr>
          <w:rFonts w:ascii="Arial" w:eastAsia="Times New Roman" w:hAnsi="Arial" w:cs="Arial"/>
          <w:i/>
          <w:iCs/>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This technical factsheet on Identifying Client Risk is designed to raise awareness of accountancy firms’ obligations and offer practical guidance. Prior to reviewing this, it is essential that you refer to the relevant sections of the </w:t>
      </w:r>
      <w:r w:rsidR="0094083C">
        <w:rPr>
          <w:rFonts w:ascii="Arial" w:eastAsia="Times New Roman" w:hAnsi="Arial" w:cs="Arial"/>
          <w:color w:val="000000" w:themeColor="text1"/>
          <w:sz w:val="24"/>
          <w:szCs w:val="24"/>
          <w:shd w:val="clear" w:color="auto" w:fill="FFFFFF"/>
        </w:rPr>
        <w:t>Criminal Justice Acts 2010 to 2018</w:t>
      </w:r>
      <w:r w:rsidRPr="00015B76">
        <w:rPr>
          <w:rFonts w:ascii="Arial" w:eastAsia="Times New Roman" w:hAnsi="Arial" w:cs="Arial"/>
          <w:color w:val="000000" w:themeColor="text1"/>
          <w:sz w:val="24"/>
          <w:szCs w:val="24"/>
          <w:shd w:val="clear" w:color="auto" w:fill="FFFFFF"/>
        </w:rPr>
        <w:t xml:space="preserve"> </w:t>
      </w:r>
      <w:r w:rsidR="0094083C">
        <w:rPr>
          <w:rFonts w:ascii="Arial" w:eastAsia="Times New Roman" w:hAnsi="Arial" w:cs="Arial"/>
          <w:color w:val="000000" w:themeColor="text1"/>
          <w:sz w:val="24"/>
          <w:szCs w:val="24"/>
          <w:shd w:val="clear" w:color="auto" w:fill="FFFFFF"/>
        </w:rPr>
        <w:t xml:space="preserve">(CJA) </w:t>
      </w:r>
      <w:r w:rsidRPr="00015B76">
        <w:rPr>
          <w:rFonts w:ascii="Arial" w:eastAsia="Times New Roman" w:hAnsi="Arial" w:cs="Arial"/>
          <w:color w:val="000000" w:themeColor="text1"/>
          <w:sz w:val="24"/>
          <w:szCs w:val="24"/>
          <w:shd w:val="clear" w:color="auto" w:fill="FFFFFF"/>
        </w:rPr>
        <w:t>and the CCAB</w:t>
      </w:r>
      <w:r w:rsidR="0094083C">
        <w:rPr>
          <w:rFonts w:ascii="Arial" w:eastAsia="Times New Roman" w:hAnsi="Arial" w:cs="Arial"/>
          <w:color w:val="000000" w:themeColor="text1"/>
          <w:sz w:val="24"/>
          <w:szCs w:val="24"/>
          <w:shd w:val="clear" w:color="auto" w:fill="FFFFFF"/>
        </w:rPr>
        <w:t>I</w:t>
      </w:r>
      <w:r w:rsidRPr="00015B76">
        <w:rPr>
          <w:rFonts w:ascii="Arial" w:eastAsia="Times New Roman" w:hAnsi="Arial" w:cs="Arial"/>
          <w:color w:val="000000" w:themeColor="text1"/>
          <w:sz w:val="24"/>
          <w:szCs w:val="24"/>
          <w:shd w:val="clear" w:color="auto" w:fill="FFFFFF"/>
        </w:rPr>
        <w:t xml:space="preserve">’s </w:t>
      </w:r>
      <w:r w:rsidRPr="00015B76">
        <w:rPr>
          <w:rFonts w:ascii="Arial" w:eastAsia="Times New Roman" w:hAnsi="Arial" w:cs="Arial"/>
          <w:i/>
          <w:iCs/>
          <w:color w:val="000000" w:themeColor="text1"/>
          <w:sz w:val="24"/>
          <w:szCs w:val="24"/>
          <w:shd w:val="clear" w:color="auto" w:fill="FFFFFF"/>
        </w:rPr>
        <w:t>Anti-Money Laundering Guidance</w:t>
      </w:r>
      <w:r>
        <w:rPr>
          <w:rFonts w:ascii="Arial" w:eastAsia="Times New Roman" w:hAnsi="Arial" w:cs="Arial"/>
          <w:i/>
          <w:iCs/>
          <w:color w:val="000000" w:themeColor="text1"/>
          <w:sz w:val="24"/>
          <w:szCs w:val="24"/>
          <w:shd w:val="clear" w:color="auto" w:fill="FFFFFF"/>
        </w:rPr>
        <w:t xml:space="preserve">. </w:t>
      </w:r>
      <w:r>
        <w:rPr>
          <w:rFonts w:ascii="Arial" w:eastAsia="Times New Roman" w:hAnsi="Arial" w:cs="Arial"/>
          <w:color w:val="000000" w:themeColor="text1"/>
          <w:sz w:val="24"/>
          <w:szCs w:val="24"/>
          <w:shd w:val="clear" w:color="auto" w:fill="FFFFFF"/>
        </w:rPr>
        <w:t xml:space="preserve">You should also consider other relevant guidance, such as HM National Risk Assessment and </w:t>
      </w:r>
      <w:r w:rsidRPr="00C77320">
        <w:rPr>
          <w:rFonts w:ascii="Arial" w:eastAsia="Times New Roman" w:hAnsi="Arial" w:cs="Arial"/>
          <w:color w:val="000000" w:themeColor="text1"/>
          <w:sz w:val="24"/>
          <w:szCs w:val="24"/>
          <w:shd w:val="clear" w:color="auto" w:fill="FFFFFF"/>
        </w:rPr>
        <w:t>FATF Guidance on the Risk-Based Approach for Accountants</w:t>
      </w:r>
      <w:r>
        <w:rPr>
          <w:rFonts w:ascii="Arial" w:eastAsia="Times New Roman" w:hAnsi="Arial" w:cs="Arial"/>
          <w:color w:val="000000" w:themeColor="text1"/>
          <w:sz w:val="24"/>
          <w:szCs w:val="24"/>
          <w:shd w:val="clear" w:color="auto" w:fill="FFFFFF"/>
        </w:rPr>
        <w:t xml:space="preserve">, to establish what risk factors need to be considered. MLRO’s of </w:t>
      </w:r>
      <w:r w:rsidRPr="00865181">
        <w:rPr>
          <w:rFonts w:ascii="Arial" w:eastAsia="Times New Roman" w:hAnsi="Arial" w:cs="Arial"/>
          <w:color w:val="000000" w:themeColor="text1"/>
          <w:sz w:val="24"/>
          <w:szCs w:val="24"/>
          <w:shd w:val="clear" w:color="auto" w:fill="FFFFFF"/>
        </w:rPr>
        <w:t xml:space="preserve">accountancy firms should also keep up to date with current risks and trends. </w:t>
      </w:r>
      <w:r w:rsidR="00865181" w:rsidRPr="00865181">
        <w:rPr>
          <w:rFonts w:ascii="Arial" w:eastAsia="Times New Roman" w:hAnsi="Arial" w:cs="Arial"/>
          <w:color w:val="000000" w:themeColor="text1"/>
          <w:sz w:val="24"/>
          <w:szCs w:val="24"/>
          <w:shd w:val="clear" w:color="auto" w:fill="FFFFFF"/>
        </w:rPr>
        <w:t>This factsheet should be read in conjunction with the ACCA Client Due Diligence factsheet.</w:t>
      </w:r>
    </w:p>
    <w:p w14:paraId="5C6F1FFF" w14:textId="77777777" w:rsidR="00352FDE" w:rsidRPr="00495F40" w:rsidRDefault="00352FDE" w:rsidP="00352FDE">
      <w:pPr>
        <w:rPr>
          <w:rFonts w:ascii="Arial" w:hAnsi="Arial" w:cs="Arial"/>
          <w:b/>
          <w:bCs/>
          <w:sz w:val="24"/>
          <w:szCs w:val="24"/>
          <w:lang w:val="en-US"/>
        </w:rPr>
      </w:pPr>
      <w:r w:rsidRPr="00495F40">
        <w:rPr>
          <w:rFonts w:ascii="Arial" w:eastAsia="Times New Roman" w:hAnsi="Arial" w:cs="Arial"/>
          <w:b/>
          <w:bCs/>
          <w:color w:val="000000" w:themeColor="text1"/>
          <w:sz w:val="24"/>
          <w:szCs w:val="24"/>
          <w:shd w:val="clear" w:color="auto" w:fill="FFFFFF"/>
        </w:rPr>
        <w:t>Overview</w:t>
      </w:r>
    </w:p>
    <w:p w14:paraId="2E2B5952" w14:textId="5CEF086A" w:rsidR="00352FDE" w:rsidRDefault="00352FDE" w:rsidP="00352FDE">
      <w:pPr>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Client risk is the </w:t>
      </w:r>
      <w:r w:rsidRPr="003308D3">
        <w:rPr>
          <w:rFonts w:ascii="Arial" w:eastAsia="Times New Roman" w:hAnsi="Arial" w:cs="Arial"/>
          <w:color w:val="000000" w:themeColor="text1"/>
          <w:sz w:val="24"/>
          <w:szCs w:val="24"/>
          <w:shd w:val="clear" w:color="auto" w:fill="FFFFFF"/>
        </w:rPr>
        <w:t>money laundering</w:t>
      </w:r>
      <w:r>
        <w:rPr>
          <w:rFonts w:ascii="Arial" w:eastAsia="Times New Roman" w:hAnsi="Arial" w:cs="Arial"/>
          <w:color w:val="000000" w:themeColor="text1"/>
          <w:sz w:val="24"/>
          <w:szCs w:val="24"/>
          <w:shd w:val="clear" w:color="auto" w:fill="FFFFFF"/>
        </w:rPr>
        <w:t>,</w:t>
      </w:r>
      <w:r w:rsidRPr="003308D3">
        <w:rPr>
          <w:rFonts w:ascii="Arial" w:eastAsia="Times New Roman" w:hAnsi="Arial" w:cs="Arial"/>
          <w:color w:val="000000" w:themeColor="text1"/>
          <w:sz w:val="24"/>
          <w:szCs w:val="24"/>
          <w:shd w:val="clear" w:color="auto" w:fill="FFFFFF"/>
        </w:rPr>
        <w:t xml:space="preserve"> terrorist financing</w:t>
      </w:r>
      <w:r>
        <w:rPr>
          <w:rFonts w:ascii="Arial" w:eastAsia="Times New Roman" w:hAnsi="Arial" w:cs="Arial"/>
          <w:color w:val="000000" w:themeColor="text1"/>
          <w:sz w:val="24"/>
          <w:szCs w:val="24"/>
          <w:shd w:val="clear" w:color="auto" w:fill="FFFFFF"/>
        </w:rPr>
        <w:t xml:space="preserve"> and other financial crime</w:t>
      </w:r>
      <w:r w:rsidRPr="003308D3">
        <w:rPr>
          <w:rFonts w:ascii="Arial" w:eastAsia="Times New Roman" w:hAnsi="Arial" w:cs="Arial"/>
          <w:color w:val="000000" w:themeColor="text1"/>
          <w:sz w:val="24"/>
          <w:szCs w:val="24"/>
          <w:shd w:val="clear" w:color="auto" w:fill="FFFFFF"/>
        </w:rPr>
        <w:t xml:space="preserve"> risks</w:t>
      </w:r>
      <w:r>
        <w:rPr>
          <w:rFonts w:ascii="Arial" w:eastAsia="Times New Roman" w:hAnsi="Arial" w:cs="Arial"/>
          <w:color w:val="000000" w:themeColor="text1"/>
          <w:sz w:val="24"/>
          <w:szCs w:val="24"/>
          <w:shd w:val="clear" w:color="auto" w:fill="FFFFFF"/>
        </w:rPr>
        <w:t xml:space="preserve"> potentially posed by a client – to which your firm may be exposed to. It is vital that the firm understands the risk posed by its clients. By doing this, an appropriate risk-based process can be implemented. This is mandatory as it is a requirement under the </w:t>
      </w:r>
      <w:r w:rsidR="00AF275B">
        <w:rPr>
          <w:rFonts w:ascii="Arial" w:eastAsia="Times New Roman" w:hAnsi="Arial" w:cs="Arial"/>
          <w:color w:val="000000" w:themeColor="text1"/>
          <w:sz w:val="24"/>
          <w:szCs w:val="24"/>
          <w:shd w:val="clear" w:color="auto" w:fill="FFFFFF"/>
        </w:rPr>
        <w:t>CJA</w:t>
      </w:r>
      <w:bookmarkStart w:id="1" w:name="_GoBack"/>
      <w:bookmarkEnd w:id="1"/>
      <w:r>
        <w:rPr>
          <w:rFonts w:ascii="Arial" w:eastAsia="Times New Roman" w:hAnsi="Arial" w:cs="Arial"/>
          <w:color w:val="000000" w:themeColor="text1"/>
          <w:sz w:val="24"/>
          <w:szCs w:val="24"/>
          <w:shd w:val="clear" w:color="auto" w:fill="FFFFFF"/>
        </w:rPr>
        <w:t xml:space="preserve">. </w:t>
      </w:r>
    </w:p>
    <w:p w14:paraId="500E76E7" w14:textId="77777777" w:rsidR="00352FDE" w:rsidRDefault="00352FDE" w:rsidP="00352FDE">
      <w:pPr>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t xml:space="preserve">Firstly, a firm must have a consistent process in place to identify the </w:t>
      </w:r>
      <w:r w:rsidRPr="003308D3">
        <w:rPr>
          <w:rFonts w:ascii="Arial" w:eastAsia="Times New Roman" w:hAnsi="Arial" w:cs="Arial"/>
          <w:color w:val="000000" w:themeColor="text1"/>
          <w:sz w:val="24"/>
          <w:szCs w:val="24"/>
          <w:shd w:val="clear" w:color="auto" w:fill="FFFFFF"/>
        </w:rPr>
        <w:t xml:space="preserve">risks </w:t>
      </w:r>
      <w:r>
        <w:rPr>
          <w:rFonts w:ascii="Arial" w:eastAsia="Times New Roman" w:hAnsi="Arial" w:cs="Arial"/>
          <w:color w:val="000000" w:themeColor="text1"/>
          <w:sz w:val="24"/>
          <w:szCs w:val="24"/>
          <w:shd w:val="clear" w:color="auto" w:fill="FFFFFF"/>
        </w:rPr>
        <w:t>of clients b</w:t>
      </w:r>
      <w:r w:rsidRPr="008E05B4">
        <w:rPr>
          <w:rFonts w:ascii="Arial" w:eastAsia="Times New Roman" w:hAnsi="Arial" w:cs="Arial"/>
          <w:color w:val="000000" w:themeColor="text1"/>
          <w:sz w:val="24"/>
          <w:szCs w:val="24"/>
          <w:shd w:val="clear" w:color="auto" w:fill="FFFFFF"/>
        </w:rPr>
        <w:t>efore establishing a client relationship or accepting an engagement</w:t>
      </w:r>
      <w:r>
        <w:rPr>
          <w:rFonts w:ascii="Arial" w:eastAsia="Times New Roman" w:hAnsi="Arial" w:cs="Arial"/>
          <w:color w:val="000000" w:themeColor="text1"/>
          <w:sz w:val="24"/>
          <w:szCs w:val="24"/>
          <w:shd w:val="clear" w:color="auto" w:fill="FFFFFF"/>
        </w:rPr>
        <w:t xml:space="preserve">. The firm must also review the client risk on an on-going basis e.g. review the client risk rating periodically or when a significant change has occurred that may impact the risk rating. </w:t>
      </w:r>
      <w:r>
        <w:rPr>
          <w:rFonts w:ascii="Arial" w:hAnsi="Arial" w:cs="Arial"/>
          <w:sz w:val="24"/>
          <w:szCs w:val="24"/>
        </w:rPr>
        <w:t xml:space="preserve">The </w:t>
      </w:r>
      <w:r w:rsidR="00D278A8">
        <w:rPr>
          <w:rFonts w:ascii="Arial" w:hAnsi="Arial" w:cs="Arial"/>
          <w:sz w:val="24"/>
          <w:szCs w:val="24"/>
        </w:rPr>
        <w:t>firm’s</w:t>
      </w:r>
      <w:r>
        <w:rPr>
          <w:rFonts w:ascii="Arial" w:hAnsi="Arial" w:cs="Arial"/>
          <w:sz w:val="24"/>
          <w:szCs w:val="24"/>
        </w:rPr>
        <w:t xml:space="preserve"> procedures for identifying client risk should be clearly articulated within the firms AML policies and procedures document.</w:t>
      </w:r>
      <w:r>
        <w:rPr>
          <w:rFonts w:ascii="Arial" w:hAnsi="Arial" w:cs="Arial"/>
          <w:sz w:val="24"/>
          <w:szCs w:val="24"/>
        </w:rPr>
        <w:br/>
      </w:r>
      <w:r>
        <w:rPr>
          <w:rFonts w:ascii="Arial" w:eastAsia="Times New Roman" w:hAnsi="Arial" w:cs="Arial"/>
          <w:color w:val="000000" w:themeColor="text1"/>
          <w:sz w:val="24"/>
          <w:szCs w:val="24"/>
          <w:shd w:val="clear" w:color="auto" w:fill="FFFFFF"/>
        </w:rPr>
        <w:t xml:space="preserve"> </w:t>
      </w:r>
      <w:r>
        <w:rPr>
          <w:rFonts w:ascii="Arial" w:eastAsia="Times New Roman" w:hAnsi="Arial" w:cs="Arial"/>
          <w:color w:val="000000" w:themeColor="text1"/>
          <w:sz w:val="24"/>
          <w:szCs w:val="24"/>
          <w:shd w:val="clear" w:color="auto" w:fill="FFFFFF"/>
        </w:rPr>
        <w:br/>
      </w:r>
      <w:r w:rsidRPr="00017C84">
        <w:rPr>
          <w:rFonts w:ascii="Arial" w:eastAsia="Times New Roman" w:hAnsi="Arial" w:cs="Arial"/>
          <w:color w:val="000000" w:themeColor="text1"/>
          <w:sz w:val="24"/>
          <w:szCs w:val="24"/>
          <w:shd w:val="clear" w:color="auto" w:fill="FFFFFF"/>
        </w:rPr>
        <w:t xml:space="preserve">All clients </w:t>
      </w:r>
      <w:r>
        <w:rPr>
          <w:rFonts w:ascii="Arial" w:eastAsia="Times New Roman" w:hAnsi="Arial" w:cs="Arial"/>
          <w:color w:val="000000" w:themeColor="text1"/>
          <w:sz w:val="24"/>
          <w:szCs w:val="24"/>
          <w:shd w:val="clear" w:color="auto" w:fill="FFFFFF"/>
        </w:rPr>
        <w:t>must</w:t>
      </w:r>
      <w:r w:rsidRPr="00017C84">
        <w:rPr>
          <w:rFonts w:ascii="Arial" w:eastAsia="Times New Roman" w:hAnsi="Arial" w:cs="Arial"/>
          <w:color w:val="000000" w:themeColor="text1"/>
          <w:sz w:val="24"/>
          <w:szCs w:val="24"/>
          <w:shd w:val="clear" w:color="auto" w:fill="FFFFFF"/>
        </w:rPr>
        <w:t xml:space="preserve"> be risk categorised</w:t>
      </w:r>
      <w:r>
        <w:rPr>
          <w:rFonts w:ascii="Arial" w:eastAsia="Times New Roman" w:hAnsi="Arial" w:cs="Arial"/>
          <w:color w:val="000000" w:themeColor="text1"/>
          <w:sz w:val="24"/>
          <w:szCs w:val="24"/>
          <w:shd w:val="clear" w:color="auto" w:fill="FFFFFF"/>
        </w:rPr>
        <w:t xml:space="preserve">. Your firm </w:t>
      </w:r>
      <w:r w:rsidRPr="00017C84">
        <w:rPr>
          <w:rFonts w:ascii="Arial" w:eastAsia="Times New Roman" w:hAnsi="Arial" w:cs="Arial"/>
          <w:color w:val="000000" w:themeColor="text1"/>
          <w:sz w:val="24"/>
          <w:szCs w:val="24"/>
          <w:shd w:val="clear" w:color="auto" w:fill="FFFFFF"/>
        </w:rPr>
        <w:t>should have different client risk categories such as: low, normal</w:t>
      </w:r>
      <w:r>
        <w:rPr>
          <w:rFonts w:ascii="Arial" w:eastAsia="Times New Roman" w:hAnsi="Arial" w:cs="Arial"/>
          <w:color w:val="000000" w:themeColor="text1"/>
          <w:sz w:val="24"/>
          <w:szCs w:val="24"/>
          <w:shd w:val="clear" w:color="auto" w:fill="FFFFFF"/>
        </w:rPr>
        <w:t>/medium</w:t>
      </w:r>
      <w:r w:rsidRPr="00017C84">
        <w:rPr>
          <w:rFonts w:ascii="Arial" w:eastAsia="Times New Roman" w:hAnsi="Arial" w:cs="Arial"/>
          <w:color w:val="000000" w:themeColor="text1"/>
          <w:sz w:val="24"/>
          <w:szCs w:val="24"/>
          <w:shd w:val="clear" w:color="auto" w:fill="FFFFFF"/>
        </w:rPr>
        <w:t>, and high</w:t>
      </w:r>
      <w:r>
        <w:rPr>
          <w:rFonts w:ascii="Arial" w:eastAsia="Times New Roman" w:hAnsi="Arial" w:cs="Arial"/>
          <w:color w:val="000000" w:themeColor="text1"/>
          <w:sz w:val="24"/>
          <w:szCs w:val="24"/>
          <w:shd w:val="clear" w:color="auto" w:fill="FFFFFF"/>
        </w:rPr>
        <w:t xml:space="preserve">. </w:t>
      </w:r>
      <w:r w:rsidRPr="00017C84">
        <w:rPr>
          <w:rFonts w:ascii="Arial" w:eastAsia="Times New Roman" w:hAnsi="Arial" w:cs="Arial"/>
          <w:color w:val="000000" w:themeColor="text1"/>
          <w:sz w:val="24"/>
          <w:szCs w:val="24"/>
          <w:shd w:val="clear" w:color="auto" w:fill="FFFFFF"/>
        </w:rPr>
        <w:t xml:space="preserve">Typically, most clients would be classified as medium/normal. Low risk </w:t>
      </w:r>
      <w:r>
        <w:rPr>
          <w:rFonts w:ascii="Arial" w:eastAsia="Times New Roman" w:hAnsi="Arial" w:cs="Arial"/>
          <w:color w:val="000000" w:themeColor="text1"/>
          <w:sz w:val="24"/>
          <w:szCs w:val="24"/>
          <w:shd w:val="clear" w:color="auto" w:fill="FFFFFF"/>
        </w:rPr>
        <w:t>should be</w:t>
      </w:r>
      <w:r w:rsidRPr="00017C84">
        <w:rPr>
          <w:rFonts w:ascii="Arial" w:eastAsia="Times New Roman" w:hAnsi="Arial" w:cs="Arial"/>
          <w:color w:val="000000" w:themeColor="text1"/>
          <w:sz w:val="24"/>
          <w:szCs w:val="24"/>
          <w:shd w:val="clear" w:color="auto" w:fill="FFFFFF"/>
        </w:rPr>
        <w:t xml:space="preserve"> a </w:t>
      </w:r>
      <w:r>
        <w:rPr>
          <w:rFonts w:ascii="Arial" w:eastAsia="Times New Roman" w:hAnsi="Arial" w:cs="Arial"/>
          <w:color w:val="000000" w:themeColor="text1"/>
          <w:sz w:val="24"/>
          <w:szCs w:val="24"/>
          <w:shd w:val="clear" w:color="auto" w:fill="FFFFFF"/>
        </w:rPr>
        <w:t xml:space="preserve">rare </w:t>
      </w:r>
      <w:r w:rsidRPr="00017C84">
        <w:rPr>
          <w:rFonts w:ascii="Arial" w:eastAsia="Times New Roman" w:hAnsi="Arial" w:cs="Arial"/>
          <w:color w:val="000000" w:themeColor="text1"/>
          <w:sz w:val="24"/>
          <w:szCs w:val="24"/>
          <w:shd w:val="clear" w:color="auto" w:fill="FFFFFF"/>
        </w:rPr>
        <w:t>exception</w:t>
      </w:r>
      <w:r>
        <w:rPr>
          <w:rFonts w:ascii="Arial" w:eastAsia="Times New Roman" w:hAnsi="Arial" w:cs="Arial"/>
          <w:color w:val="000000" w:themeColor="text1"/>
          <w:sz w:val="24"/>
          <w:szCs w:val="24"/>
          <w:shd w:val="clear" w:color="auto" w:fill="FFFFFF"/>
        </w:rPr>
        <w:t xml:space="preserve">. It is expected that an accounting firm will have some high-risk clients. From a regulatory standpoint, this is favourable as it shows your firm recognises the potential risk the client poses. However, the firm must have an appropriate risk-based approach, i.e. systems and controls, in place to consistently identify and manage them. </w:t>
      </w:r>
      <w:r w:rsidR="00D278A8">
        <w:rPr>
          <w:rFonts w:ascii="Arial" w:eastAsia="Times New Roman" w:hAnsi="Arial" w:cs="Arial"/>
          <w:color w:val="000000" w:themeColor="text1"/>
          <w:sz w:val="24"/>
          <w:szCs w:val="24"/>
          <w:shd w:val="clear" w:color="auto" w:fill="FFFFFF"/>
        </w:rPr>
        <w:t>Despite high-risk factors being mitigated through the firm’s systems and controls, these clients should still be classified as high risk.</w:t>
      </w:r>
      <w:r>
        <w:rPr>
          <w:rFonts w:ascii="Arial" w:eastAsia="Times New Roman" w:hAnsi="Arial" w:cs="Arial"/>
          <w:color w:val="000000" w:themeColor="text1"/>
          <w:sz w:val="24"/>
          <w:szCs w:val="24"/>
          <w:shd w:val="clear" w:color="auto" w:fill="FFFFFF"/>
        </w:rPr>
        <w:t xml:space="preserve">  </w:t>
      </w:r>
      <w:r>
        <w:rPr>
          <w:rFonts w:ascii="Arial" w:eastAsia="Times New Roman" w:hAnsi="Arial" w:cs="Arial"/>
          <w:color w:val="000000" w:themeColor="text1"/>
          <w:sz w:val="24"/>
          <w:szCs w:val="24"/>
          <w:shd w:val="clear" w:color="auto" w:fill="FFFFFF"/>
        </w:rPr>
        <w:br/>
      </w:r>
      <w:r>
        <w:rPr>
          <w:rFonts w:ascii="Arial" w:eastAsia="Times New Roman" w:hAnsi="Arial" w:cs="Arial"/>
          <w:color w:val="000000" w:themeColor="text1"/>
          <w:sz w:val="24"/>
          <w:szCs w:val="24"/>
          <w:shd w:val="clear" w:color="auto" w:fill="FFFFFF"/>
        </w:rPr>
        <w:br/>
        <w:t xml:space="preserve">When considering the client risk, you must also consider the services, geography, sector and delivery channel risks the client and its stakeholders are connected with. </w:t>
      </w:r>
    </w:p>
    <w:p w14:paraId="1D0B9CCD" w14:textId="43418865" w:rsidR="00352FDE" w:rsidRPr="00015B76" w:rsidRDefault="00D278A8" w:rsidP="00352FDE">
      <w:pPr>
        <w:rPr>
          <w:rFonts w:ascii="Arial" w:eastAsia="Times New Roman" w:hAnsi="Arial" w:cs="Arial"/>
          <w:color w:val="000000" w:themeColor="text1"/>
          <w:sz w:val="24"/>
          <w:szCs w:val="24"/>
          <w:shd w:val="clear" w:color="auto" w:fill="FFFFFF"/>
        </w:rPr>
      </w:pPr>
      <w:r>
        <w:rPr>
          <w:rFonts w:ascii="Arial" w:eastAsia="Times New Roman" w:hAnsi="Arial" w:cs="Arial"/>
          <w:color w:val="000000" w:themeColor="text1"/>
          <w:sz w:val="24"/>
          <w:szCs w:val="24"/>
          <w:shd w:val="clear" w:color="auto" w:fill="FFFFFF"/>
        </w:rPr>
        <w:br w:type="page"/>
      </w:r>
      <w:r w:rsidR="00352FDE">
        <w:rPr>
          <w:rFonts w:ascii="Arial" w:eastAsia="Times New Roman" w:hAnsi="Arial" w:cs="Arial"/>
          <w:color w:val="000000" w:themeColor="text1"/>
          <w:sz w:val="24"/>
          <w:szCs w:val="24"/>
          <w:shd w:val="clear" w:color="auto" w:fill="FFFFFF"/>
        </w:rPr>
        <w:lastRenderedPageBreak/>
        <w:t xml:space="preserve">Below are some examples of high, medium and low risk clients; </w:t>
      </w:r>
    </w:p>
    <w:p w14:paraId="618B2A14" w14:textId="77777777" w:rsidR="00352FDE" w:rsidRPr="00495F40" w:rsidRDefault="00352FDE" w:rsidP="00352FDE">
      <w:pPr>
        <w:rPr>
          <w:rFonts w:ascii="Arial" w:hAnsi="Arial" w:cs="Arial"/>
          <w:i/>
          <w:iCs/>
          <w:sz w:val="24"/>
          <w:szCs w:val="24"/>
        </w:rPr>
      </w:pPr>
      <w:r w:rsidRPr="00495F40">
        <w:rPr>
          <w:rFonts w:ascii="Arial" w:hAnsi="Arial" w:cs="Arial"/>
          <w:i/>
          <w:iCs/>
          <w:sz w:val="24"/>
          <w:szCs w:val="24"/>
        </w:rPr>
        <w:t>High-risk client:</w:t>
      </w:r>
    </w:p>
    <w:p w14:paraId="32DA37A7"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the business relationship is conducted in unusual circumstances</w:t>
      </w:r>
    </w:p>
    <w:p w14:paraId="7895DB34"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the client is a resident or transacts with a geographical area of high risk</w:t>
      </w:r>
    </w:p>
    <w:p w14:paraId="28075C6B"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cash-intensive businesses</w:t>
      </w:r>
      <w:r>
        <w:rPr>
          <w:rFonts w:ascii="Arial" w:hAnsi="Arial" w:cs="Arial"/>
          <w:sz w:val="24"/>
          <w:szCs w:val="24"/>
        </w:rPr>
        <w:t xml:space="preserve"> (e.g. restaurants, retail outlets)  </w:t>
      </w:r>
    </w:p>
    <w:p w14:paraId="3D713888"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the corporate structure of the customer is unusual or excessively complex</w:t>
      </w:r>
    </w:p>
    <w:p w14:paraId="3B929412"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high-net-worth individual (e.g. any individuals/entities with assets of over £x)</w:t>
      </w:r>
    </w:p>
    <w:p w14:paraId="01474824"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politically exposed person (PEP)</w:t>
      </w:r>
    </w:p>
    <w:p w14:paraId="26A73923"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high-value businesses (e.g. jewellers, car dealerships)</w:t>
      </w:r>
    </w:p>
    <w:p w14:paraId="7847C60F"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 xml:space="preserve">the type of industry/business of the firm is at high risk of MLTF e.g. money services business, import/export, charities etc. </w:t>
      </w:r>
    </w:p>
    <w:p w14:paraId="5A20A67C" w14:textId="77777777" w:rsidR="00352FDE" w:rsidRPr="00495F40" w:rsidRDefault="00352FDE" w:rsidP="00352FDE">
      <w:pPr>
        <w:rPr>
          <w:rFonts w:ascii="Arial" w:hAnsi="Arial" w:cs="Arial"/>
          <w:i/>
          <w:iCs/>
          <w:sz w:val="24"/>
          <w:szCs w:val="24"/>
        </w:rPr>
      </w:pPr>
      <w:r w:rsidRPr="00495F40">
        <w:rPr>
          <w:rFonts w:ascii="Arial" w:hAnsi="Arial" w:cs="Arial"/>
          <w:i/>
          <w:iCs/>
          <w:sz w:val="24"/>
          <w:szCs w:val="24"/>
        </w:rPr>
        <w:t>Low-risk client:</w:t>
      </w:r>
    </w:p>
    <w:p w14:paraId="319FC953"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is a public administration, or a publicly owned enterprise</w:t>
      </w:r>
    </w:p>
    <w:p w14:paraId="59FB4CAB" w14:textId="77777777" w:rsidR="00352FDE" w:rsidRPr="00495F40" w:rsidRDefault="00352FDE" w:rsidP="00352FDE">
      <w:pPr>
        <w:rPr>
          <w:rFonts w:ascii="Arial" w:hAnsi="Arial" w:cs="Arial"/>
          <w:sz w:val="24"/>
          <w:szCs w:val="24"/>
        </w:rPr>
      </w:pPr>
      <w:r w:rsidRPr="00495F40">
        <w:rPr>
          <w:rFonts w:ascii="Arial" w:hAnsi="Arial" w:cs="Arial"/>
          <w:sz w:val="24"/>
          <w:szCs w:val="24"/>
        </w:rPr>
        <w:t>•</w:t>
      </w:r>
      <w:r w:rsidRPr="00495F40">
        <w:rPr>
          <w:rFonts w:ascii="Arial" w:hAnsi="Arial" w:cs="Arial"/>
          <w:sz w:val="24"/>
          <w:szCs w:val="24"/>
        </w:rPr>
        <w:tab/>
        <w:t>is a company whose securities are listed on a regulated market, and the location of the regulated market</w:t>
      </w:r>
      <w:r w:rsidR="00D278A8">
        <w:rPr>
          <w:rFonts w:ascii="Arial" w:hAnsi="Arial" w:cs="Arial"/>
          <w:sz w:val="24"/>
          <w:szCs w:val="24"/>
        </w:rPr>
        <w:t>.</w:t>
      </w:r>
    </w:p>
    <w:p w14:paraId="107245B2" w14:textId="77777777" w:rsidR="00352FDE" w:rsidRPr="00495F40" w:rsidRDefault="00352FDE" w:rsidP="00352FDE">
      <w:pPr>
        <w:rPr>
          <w:rFonts w:ascii="Arial" w:hAnsi="Arial" w:cs="Arial"/>
          <w:i/>
          <w:iCs/>
          <w:sz w:val="24"/>
          <w:szCs w:val="24"/>
        </w:rPr>
      </w:pPr>
      <w:r w:rsidRPr="00495F40">
        <w:rPr>
          <w:rFonts w:ascii="Arial" w:hAnsi="Arial" w:cs="Arial"/>
          <w:i/>
          <w:iCs/>
          <w:sz w:val="24"/>
          <w:szCs w:val="24"/>
        </w:rPr>
        <w:t>Medium-risk client:</w:t>
      </w:r>
    </w:p>
    <w:p w14:paraId="0AE88047" w14:textId="77777777" w:rsidR="00352FDE" w:rsidRPr="00495F40" w:rsidRDefault="00352FDE" w:rsidP="00352FDE">
      <w:pPr>
        <w:rPr>
          <w:rFonts w:ascii="Arial" w:hAnsi="Arial" w:cs="Arial"/>
          <w:sz w:val="24"/>
          <w:szCs w:val="24"/>
        </w:rPr>
      </w:pPr>
      <w:r w:rsidRPr="00495F40">
        <w:rPr>
          <w:rFonts w:ascii="Arial" w:hAnsi="Arial" w:cs="Arial"/>
          <w:sz w:val="24"/>
          <w:szCs w:val="24"/>
        </w:rPr>
        <w:t>Any client who does not have any high or low risk factors</w:t>
      </w:r>
      <w:r>
        <w:rPr>
          <w:rFonts w:ascii="Arial" w:hAnsi="Arial" w:cs="Arial"/>
          <w:sz w:val="24"/>
          <w:szCs w:val="24"/>
        </w:rPr>
        <w:t>.</w:t>
      </w:r>
    </w:p>
    <w:p w14:paraId="581472A7" w14:textId="77777777" w:rsidR="00865181" w:rsidRDefault="00865181">
      <w:pPr>
        <w:rPr>
          <w:rFonts w:ascii="Arial" w:hAnsi="Arial" w:cs="Arial"/>
          <w:sz w:val="24"/>
          <w:szCs w:val="24"/>
        </w:rPr>
      </w:pPr>
    </w:p>
    <w:p w14:paraId="2348840E" w14:textId="4F95E9F9" w:rsidR="00542BFD" w:rsidRPr="00352FDE" w:rsidRDefault="00352FDE">
      <w:pPr>
        <w:rPr>
          <w:rFonts w:ascii="Arial" w:hAnsi="Arial" w:cs="Arial"/>
          <w:sz w:val="24"/>
          <w:szCs w:val="24"/>
        </w:rPr>
      </w:pPr>
      <w:r w:rsidRPr="00E11D63">
        <w:rPr>
          <w:rFonts w:ascii="Arial" w:hAnsi="Arial" w:cs="Arial"/>
          <w:sz w:val="24"/>
          <w:szCs w:val="24"/>
        </w:rPr>
        <w:t xml:space="preserve">The risk assessment of a client should be signed off by a partner, senior manager or Money Laundering Reporting Officer within the firm. It is important that the rationale for a client’s risk rating is clearly documented within the client file. This includes documenting on a periodic basis that the risk rating for the client has been reviewed but has not changed. It is also important to review the risk assessment process on a regular basis to ensure it is still relevant and up to date. </w:t>
      </w:r>
      <w:r w:rsidRPr="00E11D63">
        <w:rPr>
          <w:rFonts w:ascii="Arial" w:hAnsi="Arial" w:cs="Arial"/>
          <w:sz w:val="24"/>
          <w:szCs w:val="24"/>
        </w:rPr>
        <w:br/>
      </w:r>
      <w:r w:rsidRPr="00E11D63">
        <w:rPr>
          <w:rFonts w:ascii="Arial" w:hAnsi="Arial" w:cs="Arial"/>
          <w:sz w:val="24"/>
          <w:szCs w:val="24"/>
        </w:rPr>
        <w:br/>
      </w:r>
      <w:r w:rsidR="00D278A8">
        <w:rPr>
          <w:rFonts w:ascii="Arial" w:hAnsi="Arial" w:cs="Arial"/>
          <w:sz w:val="24"/>
          <w:szCs w:val="24"/>
        </w:rPr>
        <w:t>In a separate document we</w:t>
      </w:r>
      <w:r w:rsidRPr="00E11D63">
        <w:rPr>
          <w:rFonts w:ascii="Arial" w:hAnsi="Arial" w:cs="Arial"/>
          <w:sz w:val="24"/>
          <w:szCs w:val="24"/>
        </w:rPr>
        <w:t xml:space="preserve"> have provided a basic </w:t>
      </w:r>
      <w:r w:rsidR="003442AC">
        <w:rPr>
          <w:rFonts w:ascii="Arial" w:hAnsi="Arial" w:cs="Arial"/>
          <w:sz w:val="24"/>
          <w:szCs w:val="24"/>
        </w:rPr>
        <w:t xml:space="preserve">know your customer (KYC) form and </w:t>
      </w:r>
      <w:r w:rsidRPr="00E11D63">
        <w:rPr>
          <w:rFonts w:ascii="Arial" w:hAnsi="Arial" w:cs="Arial"/>
          <w:sz w:val="24"/>
          <w:szCs w:val="24"/>
        </w:rPr>
        <w:t xml:space="preserve">client risk assessment template that can be used as a starting point. The questions posed are indicative only and not all questions will be applicable to all clients.  The questions are also non-exhaustive and should be used as a guide only, there may be additional risk factors that will need to be considered and documented.   </w:t>
      </w:r>
      <w:bookmarkEnd w:id="0"/>
    </w:p>
    <w:sectPr w:rsidR="00542BFD" w:rsidRPr="00352FDE">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A146D0" w14:textId="77777777" w:rsidR="00853815" w:rsidRDefault="00853815" w:rsidP="00352FDE">
      <w:pPr>
        <w:spacing w:after="0" w:line="240" w:lineRule="auto"/>
      </w:pPr>
      <w:r>
        <w:separator/>
      </w:r>
    </w:p>
  </w:endnote>
  <w:endnote w:type="continuationSeparator" w:id="0">
    <w:p w14:paraId="2FF34F7B" w14:textId="77777777" w:rsidR="00853815" w:rsidRDefault="00853815" w:rsidP="00352F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59C9DA" w14:textId="77777777" w:rsidR="00853815" w:rsidRDefault="00853815" w:rsidP="00352FDE">
      <w:pPr>
        <w:spacing w:after="0" w:line="240" w:lineRule="auto"/>
      </w:pPr>
      <w:r>
        <w:separator/>
      </w:r>
    </w:p>
  </w:footnote>
  <w:footnote w:type="continuationSeparator" w:id="0">
    <w:p w14:paraId="602AC214" w14:textId="77777777" w:rsidR="00853815" w:rsidRDefault="00853815" w:rsidP="00352F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75925"/>
    <w:multiLevelType w:val="hybridMultilevel"/>
    <w:tmpl w:val="4E22FF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D3410FB"/>
    <w:multiLevelType w:val="hybridMultilevel"/>
    <w:tmpl w:val="281E5FF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0817A12"/>
    <w:multiLevelType w:val="hybridMultilevel"/>
    <w:tmpl w:val="69AC6BA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71E410A"/>
    <w:multiLevelType w:val="hybridMultilevel"/>
    <w:tmpl w:val="B2A01016"/>
    <w:lvl w:ilvl="0" w:tplc="9258C6B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2FDE"/>
    <w:rsid w:val="003442AC"/>
    <w:rsid w:val="00352FDE"/>
    <w:rsid w:val="00542BFD"/>
    <w:rsid w:val="00853815"/>
    <w:rsid w:val="00865181"/>
    <w:rsid w:val="008A1098"/>
    <w:rsid w:val="008B2AF7"/>
    <w:rsid w:val="0094083C"/>
    <w:rsid w:val="00AF275B"/>
    <w:rsid w:val="00D27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7E05BD3"/>
  <w15:chartTrackingRefBased/>
  <w15:docId w15:val="{D6537EEA-F778-41CE-9541-04617E6E8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2FD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2F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52FDE"/>
    <w:pPr>
      <w:ind w:left="720"/>
      <w:contextualSpacing/>
    </w:pPr>
  </w:style>
  <w:style w:type="character" w:styleId="CommentReference">
    <w:name w:val="annotation reference"/>
    <w:basedOn w:val="DefaultParagraphFont"/>
    <w:uiPriority w:val="99"/>
    <w:semiHidden/>
    <w:unhideWhenUsed/>
    <w:rsid w:val="00352FDE"/>
    <w:rPr>
      <w:sz w:val="16"/>
      <w:szCs w:val="16"/>
    </w:rPr>
  </w:style>
  <w:style w:type="paragraph" w:styleId="CommentText">
    <w:name w:val="annotation text"/>
    <w:basedOn w:val="Normal"/>
    <w:link w:val="CommentTextChar"/>
    <w:uiPriority w:val="99"/>
    <w:semiHidden/>
    <w:unhideWhenUsed/>
    <w:rsid w:val="00352FDE"/>
    <w:pPr>
      <w:spacing w:line="240" w:lineRule="auto"/>
    </w:pPr>
    <w:rPr>
      <w:sz w:val="20"/>
      <w:szCs w:val="20"/>
    </w:rPr>
  </w:style>
  <w:style w:type="character" w:customStyle="1" w:styleId="CommentTextChar">
    <w:name w:val="Comment Text Char"/>
    <w:basedOn w:val="DefaultParagraphFont"/>
    <w:link w:val="CommentText"/>
    <w:uiPriority w:val="99"/>
    <w:semiHidden/>
    <w:rsid w:val="00352FDE"/>
    <w:rPr>
      <w:sz w:val="20"/>
      <w:szCs w:val="20"/>
    </w:rPr>
  </w:style>
  <w:style w:type="paragraph" w:styleId="BalloonText">
    <w:name w:val="Balloon Text"/>
    <w:basedOn w:val="Normal"/>
    <w:link w:val="BalloonTextChar"/>
    <w:uiPriority w:val="99"/>
    <w:semiHidden/>
    <w:unhideWhenUsed/>
    <w:rsid w:val="00352FD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52FDE"/>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D278A8"/>
    <w:rPr>
      <w:b/>
      <w:bCs/>
    </w:rPr>
  </w:style>
  <w:style w:type="character" w:customStyle="1" w:styleId="CommentSubjectChar">
    <w:name w:val="Comment Subject Char"/>
    <w:basedOn w:val="CommentTextChar"/>
    <w:link w:val="CommentSubject"/>
    <w:uiPriority w:val="99"/>
    <w:semiHidden/>
    <w:rsid w:val="00D278A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D06EE447BAA348B68B448EA51CDF03" ma:contentTypeVersion="13" ma:contentTypeDescription="Create a new document." ma:contentTypeScope="" ma:versionID="11226005f04342aea3d7dbc7253289e9">
  <xsd:schema xmlns:xsd="http://www.w3.org/2001/XMLSchema" xmlns:xs="http://www.w3.org/2001/XMLSchema" xmlns:p="http://schemas.microsoft.com/office/2006/metadata/properties" xmlns:ns3="d3197d30-c7b6-4274-b863-7e34421eb7a1" xmlns:ns4="e26c4e50-ea9b-4192-94d2-e70236926e53" targetNamespace="http://schemas.microsoft.com/office/2006/metadata/properties" ma:root="true" ma:fieldsID="3e080920a8add27c02e95b531b310d70" ns3:_="" ns4:_="">
    <xsd:import namespace="d3197d30-c7b6-4274-b863-7e34421eb7a1"/>
    <xsd:import namespace="e26c4e50-ea9b-4192-94d2-e70236926e5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197d30-c7b6-4274-b863-7e34421eb7a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6c4e50-ea9b-4192-94d2-e70236926e5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59F891-DB55-4ED8-B8CD-BCF36FEF6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3197d30-c7b6-4274-b863-7e34421eb7a1"/>
    <ds:schemaRef ds:uri="e26c4e50-ea9b-4192-94d2-e70236926e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002F08-959B-40E1-8B1F-843D477B23C6}">
  <ds:schemaRefs>
    <ds:schemaRef ds:uri="http://schemas.microsoft.com/sharepoint/v3/contenttype/forms"/>
  </ds:schemaRefs>
</ds:datastoreItem>
</file>

<file path=customXml/itemProps3.xml><?xml version="1.0" encoding="utf-8"?>
<ds:datastoreItem xmlns:ds="http://schemas.openxmlformats.org/officeDocument/2006/customXml" ds:itemID="{15B0FC63-7E00-4A96-99A4-EA10BC6DE6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645</Words>
  <Characters>3681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ACCA</Company>
  <LinksUpToDate>false</LinksUpToDate>
  <CharactersWithSpaces>4318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Armstrong</dc:creator>
  <cp:keywords/>
  <dc:description/>
  <cp:lastModifiedBy>Aidan Clifford</cp:lastModifiedBy>
  <cp:revision>4</cp:revision>
  <dcterms:created xsi:type="dcterms:W3CDTF">2020-07-03T13:10:00Z</dcterms:created>
  <dcterms:modified xsi:type="dcterms:W3CDTF">2020-07-03T13:11:00Z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0x010100D3D06EE447BAA348B68B448EA51CDF03</vt:lpwstr>
  </property>
</Properties>
</file>