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96" w:rsidRDefault="00204F96" w:rsidP="00204F96">
      <w:pPr>
        <w:rPr>
          <w:rFonts w:ascii="Arial" w:hAnsi="Arial" w:cs="Arial"/>
          <w:sz w:val="24"/>
          <w:szCs w:val="24"/>
        </w:rPr>
      </w:pPr>
      <w:r>
        <w:rPr>
          <w:rFonts w:ascii="Arial" w:hAnsi="Arial" w:cs="Arial"/>
          <w:sz w:val="24"/>
          <w:szCs w:val="24"/>
        </w:rPr>
        <w:t>Some owners won’t pay their service charge</w:t>
      </w:r>
    </w:p>
    <w:p w:rsidR="00204F96" w:rsidRDefault="00204F96" w:rsidP="00204F96">
      <w:pPr>
        <w:rPr>
          <w:rFonts w:ascii="Arial" w:hAnsi="Arial" w:cs="Arial"/>
          <w:sz w:val="24"/>
          <w:szCs w:val="24"/>
        </w:rPr>
      </w:pPr>
    </w:p>
    <w:p w:rsidR="00A337F5" w:rsidRDefault="00A337F5" w:rsidP="00204F96">
      <w:pPr>
        <w:rPr>
          <w:rFonts w:ascii="Arial" w:hAnsi="Arial" w:cs="Arial"/>
          <w:sz w:val="24"/>
          <w:szCs w:val="24"/>
        </w:rPr>
      </w:pPr>
      <w:r>
        <w:rPr>
          <w:rFonts w:ascii="Arial" w:hAnsi="Arial" w:cs="Arial"/>
          <w:sz w:val="24"/>
          <w:szCs w:val="24"/>
        </w:rPr>
        <w:t xml:space="preserve">The service charge is a legal debt, however, it is expensive to get a charge registered against a property for the amount due and sometimes the only effective power to enforce the debt is to refuse to allow the title be transferred without the outstanding fees being discharged.  However, a debt that might not be discharged for 30 years will be effectively worth nothing when inflation is taken into account.  Writing off debts as bad debts does not send the correct message to other owners, but there is a solution: </w:t>
      </w:r>
    </w:p>
    <w:p w:rsidR="00204F96" w:rsidRPr="00204F96" w:rsidRDefault="00204F96" w:rsidP="00204F96">
      <w:pPr>
        <w:rPr>
          <w:rFonts w:ascii="Arial" w:hAnsi="Arial" w:cs="Arial"/>
          <w:sz w:val="24"/>
          <w:szCs w:val="24"/>
        </w:rPr>
      </w:pPr>
    </w:p>
    <w:p w:rsidR="00204F96" w:rsidRPr="00204F96" w:rsidRDefault="00204F96" w:rsidP="00204F96">
      <w:pPr>
        <w:rPr>
          <w:rFonts w:ascii="Arial" w:hAnsi="Arial" w:cs="Arial"/>
          <w:sz w:val="24"/>
          <w:szCs w:val="24"/>
        </w:rPr>
      </w:pPr>
      <w:r w:rsidRPr="00204F96">
        <w:rPr>
          <w:rFonts w:ascii="Arial" w:hAnsi="Arial" w:cs="Arial"/>
          <w:sz w:val="24"/>
          <w:szCs w:val="24"/>
        </w:rPr>
        <w:t>Call an AGM/EGM and propose the following motion</w:t>
      </w:r>
      <w:r w:rsidR="00A337F5">
        <w:rPr>
          <w:rFonts w:ascii="Arial" w:hAnsi="Arial" w:cs="Arial"/>
          <w:sz w:val="24"/>
          <w:szCs w:val="24"/>
        </w:rPr>
        <w:t xml:space="preserve"> (or something similar)</w:t>
      </w:r>
      <w:r w:rsidRPr="00204F96">
        <w:rPr>
          <w:rFonts w:ascii="Arial" w:hAnsi="Arial" w:cs="Arial"/>
          <w:sz w:val="24"/>
          <w:szCs w:val="24"/>
        </w:rPr>
        <w:t xml:space="preserve">: </w:t>
      </w:r>
    </w:p>
    <w:p w:rsidR="00204F96" w:rsidRPr="00204F96" w:rsidRDefault="00204F96" w:rsidP="00204F96">
      <w:pPr>
        <w:rPr>
          <w:rFonts w:ascii="Arial" w:hAnsi="Arial" w:cs="Arial"/>
          <w:sz w:val="24"/>
          <w:szCs w:val="24"/>
        </w:rPr>
      </w:pPr>
    </w:p>
    <w:p w:rsidR="00A337F5" w:rsidRDefault="00204F96" w:rsidP="00204F96">
      <w:pPr>
        <w:rPr>
          <w:rFonts w:ascii="Arial" w:hAnsi="Arial" w:cs="Arial"/>
          <w:sz w:val="24"/>
          <w:szCs w:val="24"/>
        </w:rPr>
      </w:pPr>
      <w:r w:rsidRPr="00204F96">
        <w:rPr>
          <w:rFonts w:ascii="Arial" w:hAnsi="Arial" w:cs="Arial"/>
          <w:sz w:val="24"/>
          <w:szCs w:val="24"/>
        </w:rPr>
        <w:t>In respect of the service charge the members are invited to agree the following</w:t>
      </w:r>
      <w:r w:rsidR="00A337F5">
        <w:rPr>
          <w:rFonts w:ascii="Arial" w:hAnsi="Arial" w:cs="Arial"/>
          <w:sz w:val="24"/>
          <w:szCs w:val="24"/>
        </w:rPr>
        <w:t>:</w:t>
      </w:r>
    </w:p>
    <w:p w:rsidR="00A337F5" w:rsidRDefault="00A337F5" w:rsidP="00204F96">
      <w:pPr>
        <w:rPr>
          <w:rFonts w:ascii="Arial" w:hAnsi="Arial" w:cs="Arial"/>
          <w:sz w:val="24"/>
          <w:szCs w:val="24"/>
        </w:rPr>
      </w:pPr>
      <w:r>
        <w:rPr>
          <w:rFonts w:ascii="Arial" w:hAnsi="Arial" w:cs="Arial"/>
          <w:sz w:val="24"/>
          <w:szCs w:val="24"/>
        </w:rPr>
        <w:t>The service charge will be set for the year at €XXXXX payable on XX/XX/2018 plus interest and charges for late payment in accordance with the following:</w:t>
      </w:r>
    </w:p>
    <w:p w:rsidR="00204F96" w:rsidRPr="00204F96" w:rsidRDefault="00204F96" w:rsidP="00204F96">
      <w:pPr>
        <w:pStyle w:val="ListParagraph"/>
        <w:numPr>
          <w:ilvl w:val="0"/>
          <w:numId w:val="1"/>
        </w:numPr>
        <w:rPr>
          <w:rFonts w:ascii="Arial" w:hAnsi="Arial" w:cs="Arial"/>
          <w:sz w:val="24"/>
          <w:szCs w:val="24"/>
        </w:rPr>
      </w:pPr>
      <w:r w:rsidRPr="00204F96">
        <w:rPr>
          <w:rFonts w:ascii="Arial" w:hAnsi="Arial" w:cs="Arial"/>
          <w:sz w:val="24"/>
          <w:szCs w:val="24"/>
        </w:rPr>
        <w:t>Outstanding service charge 3 months overdue: a reminder letter issue to the owner</w:t>
      </w:r>
      <w:r w:rsidR="00A337F5">
        <w:rPr>
          <w:rFonts w:ascii="Arial" w:hAnsi="Arial" w:cs="Arial"/>
          <w:sz w:val="24"/>
          <w:szCs w:val="24"/>
        </w:rPr>
        <w:t xml:space="preserve">, no interest to be charged when the debt is paid within 3 months of the due date. </w:t>
      </w:r>
    </w:p>
    <w:p w:rsidR="00204F96" w:rsidRPr="00204F96" w:rsidRDefault="00204F96" w:rsidP="00204F96">
      <w:pPr>
        <w:pStyle w:val="ListParagraph"/>
        <w:numPr>
          <w:ilvl w:val="0"/>
          <w:numId w:val="1"/>
        </w:numPr>
        <w:rPr>
          <w:rFonts w:ascii="Arial" w:hAnsi="Arial" w:cs="Arial"/>
          <w:sz w:val="24"/>
          <w:szCs w:val="24"/>
        </w:rPr>
      </w:pPr>
      <w:r w:rsidRPr="00204F96">
        <w:rPr>
          <w:rFonts w:ascii="Arial" w:hAnsi="Arial" w:cs="Arial"/>
          <w:sz w:val="24"/>
          <w:szCs w:val="24"/>
        </w:rPr>
        <w:t xml:space="preserve">Outstanding service charge 3-6 months overdue: reminders sent, offer of deferred payment on a </w:t>
      </w:r>
      <w:r w:rsidR="00A337F5">
        <w:rPr>
          <w:rFonts w:ascii="Arial" w:hAnsi="Arial" w:cs="Arial"/>
          <w:sz w:val="24"/>
          <w:szCs w:val="24"/>
        </w:rPr>
        <w:t xml:space="preserve">monthly basis by standing order.  Interest to be added at an APR rate equal to overdraft interest rate charged by the </w:t>
      </w:r>
      <w:proofErr w:type="gramStart"/>
      <w:r w:rsidR="00A337F5">
        <w:rPr>
          <w:rFonts w:ascii="Arial" w:hAnsi="Arial" w:cs="Arial"/>
          <w:sz w:val="24"/>
          <w:szCs w:val="24"/>
        </w:rPr>
        <w:t>companies</w:t>
      </w:r>
      <w:proofErr w:type="gramEnd"/>
      <w:r w:rsidR="00A337F5">
        <w:rPr>
          <w:rFonts w:ascii="Arial" w:hAnsi="Arial" w:cs="Arial"/>
          <w:sz w:val="24"/>
          <w:szCs w:val="24"/>
        </w:rPr>
        <w:t xml:space="preserve"> bank.  </w:t>
      </w:r>
    </w:p>
    <w:p w:rsidR="00204F96" w:rsidRPr="00204F96" w:rsidRDefault="00204F96" w:rsidP="00204F96">
      <w:pPr>
        <w:pStyle w:val="ListParagraph"/>
        <w:numPr>
          <w:ilvl w:val="0"/>
          <w:numId w:val="1"/>
        </w:numPr>
        <w:rPr>
          <w:rFonts w:ascii="Arial" w:hAnsi="Arial" w:cs="Arial"/>
          <w:sz w:val="24"/>
          <w:szCs w:val="24"/>
        </w:rPr>
      </w:pPr>
      <w:r w:rsidRPr="00204F96">
        <w:rPr>
          <w:rFonts w:ascii="Arial" w:hAnsi="Arial" w:cs="Arial"/>
          <w:sz w:val="24"/>
          <w:szCs w:val="24"/>
        </w:rPr>
        <w:t xml:space="preserve">Outstanding service charge 12 months overdue or payment plan reneged on: </w:t>
      </w:r>
      <w:r w:rsidR="00A337F5">
        <w:rPr>
          <w:rFonts w:ascii="Arial" w:hAnsi="Arial" w:cs="Arial"/>
          <w:sz w:val="24"/>
          <w:szCs w:val="24"/>
        </w:rPr>
        <w:t xml:space="preserve">Interest to be added at an APR rate equal to overdraft interest rate charged by the companies </w:t>
      </w:r>
      <w:r w:rsidR="00A337F5">
        <w:rPr>
          <w:rFonts w:ascii="Arial" w:hAnsi="Arial" w:cs="Arial"/>
          <w:sz w:val="24"/>
          <w:szCs w:val="24"/>
        </w:rPr>
        <w:t xml:space="preserve">bank </w:t>
      </w:r>
      <w:r w:rsidRPr="00204F96">
        <w:rPr>
          <w:rFonts w:ascii="Arial" w:hAnsi="Arial" w:cs="Arial"/>
          <w:sz w:val="24"/>
          <w:szCs w:val="24"/>
        </w:rPr>
        <w:t xml:space="preserve">compounded from the date that the amount became due until the amount is paid plus the standard service for that unit be increased by €500 for the year to cover the additional collection charge.  </w:t>
      </w:r>
    </w:p>
    <w:p w:rsidR="00204F96" w:rsidRPr="008A0267" w:rsidRDefault="00204F96" w:rsidP="008A0267">
      <w:pPr>
        <w:pStyle w:val="ListParagraph"/>
        <w:numPr>
          <w:ilvl w:val="0"/>
          <w:numId w:val="1"/>
        </w:numPr>
        <w:rPr>
          <w:rFonts w:ascii="Arial" w:hAnsi="Arial" w:cs="Arial"/>
          <w:sz w:val="24"/>
          <w:szCs w:val="24"/>
        </w:rPr>
      </w:pPr>
      <w:r w:rsidRPr="00A337F5">
        <w:rPr>
          <w:rFonts w:ascii="Arial" w:hAnsi="Arial" w:cs="Arial"/>
          <w:sz w:val="24"/>
          <w:szCs w:val="24"/>
        </w:rPr>
        <w:t xml:space="preserve">Outstanding service charge 24 months overdue: </w:t>
      </w:r>
      <w:r w:rsidR="00A337F5">
        <w:rPr>
          <w:rFonts w:ascii="Arial" w:hAnsi="Arial" w:cs="Arial"/>
          <w:sz w:val="24"/>
          <w:szCs w:val="24"/>
        </w:rPr>
        <w:t xml:space="preserve">Interest to be added at an APR rate equal to overdraft interest rate charged by the companies bank </w:t>
      </w:r>
      <w:r w:rsidR="00A337F5" w:rsidRPr="00204F96">
        <w:rPr>
          <w:rFonts w:ascii="Arial" w:hAnsi="Arial" w:cs="Arial"/>
          <w:sz w:val="24"/>
          <w:szCs w:val="24"/>
        </w:rPr>
        <w:t xml:space="preserve">compounded from the date that the amount became due until the amount is paid plus the standard service for that unit </w:t>
      </w:r>
      <w:r w:rsidR="00A337F5">
        <w:rPr>
          <w:rFonts w:ascii="Arial" w:hAnsi="Arial" w:cs="Arial"/>
          <w:sz w:val="24"/>
          <w:szCs w:val="24"/>
        </w:rPr>
        <w:t xml:space="preserve">for the year in question </w:t>
      </w:r>
      <w:r w:rsidR="00A337F5" w:rsidRPr="00204F96">
        <w:rPr>
          <w:rFonts w:ascii="Arial" w:hAnsi="Arial" w:cs="Arial"/>
          <w:sz w:val="24"/>
          <w:szCs w:val="24"/>
        </w:rPr>
        <w:t xml:space="preserve">be increased by </w:t>
      </w:r>
      <w:r w:rsidR="00A337F5" w:rsidRPr="00A337F5">
        <w:rPr>
          <w:rFonts w:ascii="Arial" w:hAnsi="Arial" w:cs="Arial"/>
          <w:sz w:val="24"/>
          <w:szCs w:val="24"/>
        </w:rPr>
        <w:t xml:space="preserve">the amount actually incurred by the company in the </w:t>
      </w:r>
      <w:r w:rsidR="00A337F5">
        <w:rPr>
          <w:rFonts w:ascii="Arial" w:hAnsi="Arial" w:cs="Arial"/>
          <w:sz w:val="24"/>
          <w:szCs w:val="24"/>
        </w:rPr>
        <w:t xml:space="preserve">obtaining, </w:t>
      </w:r>
      <w:r w:rsidR="00A337F5" w:rsidRPr="00A337F5">
        <w:rPr>
          <w:rFonts w:ascii="Arial" w:hAnsi="Arial" w:cs="Arial"/>
          <w:sz w:val="24"/>
          <w:szCs w:val="24"/>
        </w:rPr>
        <w:t xml:space="preserve">maintenance, enforcement </w:t>
      </w:r>
      <w:r w:rsidR="008A0267" w:rsidRPr="00A337F5">
        <w:rPr>
          <w:rFonts w:ascii="Arial" w:hAnsi="Arial" w:cs="Arial"/>
          <w:sz w:val="24"/>
          <w:szCs w:val="24"/>
        </w:rPr>
        <w:t>of the legal charge over the property</w:t>
      </w:r>
      <w:r w:rsidR="008A0267" w:rsidRPr="00A337F5">
        <w:rPr>
          <w:rFonts w:ascii="Arial" w:hAnsi="Arial" w:cs="Arial"/>
          <w:sz w:val="24"/>
          <w:szCs w:val="24"/>
        </w:rPr>
        <w:t xml:space="preserve"> </w:t>
      </w:r>
      <w:r w:rsidR="00A337F5" w:rsidRPr="00A337F5">
        <w:rPr>
          <w:rFonts w:ascii="Arial" w:hAnsi="Arial" w:cs="Arial"/>
          <w:sz w:val="24"/>
          <w:szCs w:val="24"/>
        </w:rPr>
        <w:t>or</w:t>
      </w:r>
      <w:r w:rsidR="008A0267">
        <w:rPr>
          <w:rFonts w:ascii="Arial" w:hAnsi="Arial" w:cs="Arial"/>
          <w:sz w:val="24"/>
          <w:szCs w:val="24"/>
        </w:rPr>
        <w:t xml:space="preserve"> any other costs incurred in</w:t>
      </w:r>
      <w:r w:rsidR="00A337F5" w:rsidRPr="00A337F5">
        <w:rPr>
          <w:rFonts w:ascii="Arial" w:hAnsi="Arial" w:cs="Arial"/>
          <w:sz w:val="24"/>
          <w:szCs w:val="24"/>
        </w:rPr>
        <w:t xml:space="preserve"> collection</w:t>
      </w:r>
      <w:r w:rsidR="008A0267">
        <w:rPr>
          <w:rFonts w:ascii="Arial" w:hAnsi="Arial" w:cs="Arial"/>
          <w:sz w:val="24"/>
          <w:szCs w:val="24"/>
        </w:rPr>
        <w:t xml:space="preserve"> of the debt</w:t>
      </w:r>
      <w:r w:rsidR="00A337F5" w:rsidRPr="00204F96">
        <w:rPr>
          <w:rFonts w:ascii="Arial" w:hAnsi="Arial" w:cs="Arial"/>
          <w:sz w:val="24"/>
          <w:szCs w:val="24"/>
        </w:rPr>
        <w:t xml:space="preserve">.  </w:t>
      </w:r>
      <w:r w:rsidRPr="008A0267">
        <w:rPr>
          <w:rFonts w:ascii="Arial" w:hAnsi="Arial" w:cs="Arial"/>
          <w:sz w:val="24"/>
          <w:szCs w:val="24"/>
        </w:rPr>
        <w:t xml:space="preserve">. </w:t>
      </w:r>
    </w:p>
    <w:p w:rsidR="00204F96" w:rsidRPr="00204F96" w:rsidRDefault="00204F96" w:rsidP="00204F96">
      <w:pPr>
        <w:pStyle w:val="ListParagraph"/>
        <w:numPr>
          <w:ilvl w:val="0"/>
          <w:numId w:val="1"/>
        </w:numPr>
        <w:rPr>
          <w:rFonts w:ascii="Arial" w:hAnsi="Arial" w:cs="Arial"/>
          <w:sz w:val="24"/>
          <w:szCs w:val="24"/>
        </w:rPr>
      </w:pPr>
      <w:r w:rsidRPr="00204F96">
        <w:rPr>
          <w:rFonts w:ascii="Arial" w:hAnsi="Arial" w:cs="Arial"/>
          <w:sz w:val="24"/>
          <w:szCs w:val="24"/>
        </w:rPr>
        <w:t xml:space="preserve">The directors of the company are hereby instructed to not facilitate in any way the transfer or sale of any property in the development while there is an outstanding service charge on that property.  </w:t>
      </w:r>
    </w:p>
    <w:p w:rsidR="00204F96" w:rsidRPr="00204F96" w:rsidRDefault="00204F96" w:rsidP="00204F96">
      <w:pPr>
        <w:rPr>
          <w:rFonts w:ascii="Arial" w:hAnsi="Arial" w:cs="Arial"/>
          <w:sz w:val="24"/>
          <w:szCs w:val="24"/>
        </w:rPr>
      </w:pPr>
    </w:p>
    <w:p w:rsidR="00204F96" w:rsidRPr="00204F96" w:rsidRDefault="008A0267" w:rsidP="00204F96">
      <w:pPr>
        <w:rPr>
          <w:rFonts w:ascii="Arial" w:hAnsi="Arial" w:cs="Arial"/>
          <w:sz w:val="24"/>
          <w:szCs w:val="24"/>
        </w:rPr>
      </w:pPr>
      <w:r>
        <w:rPr>
          <w:rFonts w:ascii="Arial" w:hAnsi="Arial" w:cs="Arial"/>
          <w:sz w:val="24"/>
          <w:szCs w:val="24"/>
        </w:rPr>
        <w:t xml:space="preserve">Where there is a </w:t>
      </w:r>
      <w:proofErr w:type="spellStart"/>
      <w:r>
        <w:rPr>
          <w:rFonts w:ascii="Arial" w:hAnsi="Arial" w:cs="Arial"/>
          <w:sz w:val="24"/>
          <w:szCs w:val="24"/>
        </w:rPr>
        <w:t>build up</w:t>
      </w:r>
      <w:proofErr w:type="spellEnd"/>
      <w:r>
        <w:rPr>
          <w:rFonts w:ascii="Arial" w:hAnsi="Arial" w:cs="Arial"/>
          <w:sz w:val="24"/>
          <w:szCs w:val="24"/>
        </w:rPr>
        <w:t xml:space="preserve"> of old services charges unpaid, the directors</w:t>
      </w:r>
      <w:r w:rsidR="00204F96" w:rsidRPr="00204F96">
        <w:rPr>
          <w:rFonts w:ascii="Arial" w:hAnsi="Arial" w:cs="Arial"/>
          <w:sz w:val="24"/>
          <w:szCs w:val="24"/>
        </w:rPr>
        <w:t xml:space="preserve"> might do a separate minute in respect of old</w:t>
      </w:r>
      <w:r>
        <w:rPr>
          <w:rFonts w:ascii="Arial" w:hAnsi="Arial" w:cs="Arial"/>
          <w:sz w:val="24"/>
          <w:szCs w:val="24"/>
        </w:rPr>
        <w:t xml:space="preserve"> service charge and offer a </w:t>
      </w:r>
      <w:r w:rsidR="00204F96" w:rsidRPr="00204F96">
        <w:rPr>
          <w:rFonts w:ascii="Arial" w:hAnsi="Arial" w:cs="Arial"/>
          <w:sz w:val="24"/>
          <w:szCs w:val="24"/>
        </w:rPr>
        <w:t>period</w:t>
      </w:r>
      <w:r>
        <w:rPr>
          <w:rFonts w:ascii="Arial" w:hAnsi="Arial" w:cs="Arial"/>
          <w:sz w:val="24"/>
          <w:szCs w:val="24"/>
        </w:rPr>
        <w:t xml:space="preserve"> of grace </w:t>
      </w:r>
      <w:r w:rsidR="00204F96" w:rsidRPr="00204F96">
        <w:rPr>
          <w:rFonts w:ascii="Arial" w:hAnsi="Arial" w:cs="Arial"/>
          <w:sz w:val="24"/>
          <w:szCs w:val="24"/>
        </w:rPr>
        <w:t xml:space="preserve">after which the amount will attract interest </w:t>
      </w:r>
      <w:r>
        <w:rPr>
          <w:rFonts w:ascii="Arial" w:hAnsi="Arial" w:cs="Arial"/>
          <w:sz w:val="24"/>
          <w:szCs w:val="24"/>
        </w:rPr>
        <w:t xml:space="preserve">and the penalties as detailed above.  </w:t>
      </w:r>
    </w:p>
    <w:p w:rsidR="00204F96" w:rsidRPr="00204F96" w:rsidRDefault="00204F96" w:rsidP="00204F96">
      <w:pPr>
        <w:rPr>
          <w:rFonts w:ascii="Arial" w:hAnsi="Arial" w:cs="Arial"/>
          <w:sz w:val="24"/>
          <w:szCs w:val="24"/>
        </w:rPr>
      </w:pPr>
    </w:p>
    <w:p w:rsidR="00204F96" w:rsidRDefault="008A0267">
      <w:pPr>
        <w:rPr>
          <w:rFonts w:ascii="Arial" w:hAnsi="Arial" w:cs="Arial"/>
          <w:sz w:val="24"/>
          <w:szCs w:val="24"/>
        </w:rPr>
      </w:pPr>
      <w:r>
        <w:rPr>
          <w:rFonts w:ascii="Arial" w:hAnsi="Arial" w:cs="Arial"/>
          <w:sz w:val="24"/>
          <w:szCs w:val="24"/>
        </w:rPr>
        <w:t xml:space="preserve">The service charge needs to be </w:t>
      </w:r>
      <w:r w:rsidR="00204F96" w:rsidRPr="00204F96">
        <w:rPr>
          <w:rFonts w:ascii="Arial" w:hAnsi="Arial" w:cs="Arial"/>
          <w:sz w:val="24"/>
          <w:szCs w:val="24"/>
        </w:rPr>
        <w:t>pass</w:t>
      </w:r>
      <w:r>
        <w:rPr>
          <w:rFonts w:ascii="Arial" w:hAnsi="Arial" w:cs="Arial"/>
          <w:sz w:val="24"/>
          <w:szCs w:val="24"/>
        </w:rPr>
        <w:t>ed</w:t>
      </w:r>
      <w:r w:rsidR="00204F96" w:rsidRPr="00204F96">
        <w:rPr>
          <w:rFonts w:ascii="Arial" w:hAnsi="Arial" w:cs="Arial"/>
          <w:sz w:val="24"/>
          <w:szCs w:val="24"/>
        </w:rPr>
        <w:t xml:space="preserve"> at the AGM</w:t>
      </w:r>
      <w:r>
        <w:rPr>
          <w:rFonts w:ascii="Arial" w:hAnsi="Arial" w:cs="Arial"/>
          <w:sz w:val="24"/>
          <w:szCs w:val="24"/>
        </w:rPr>
        <w:t xml:space="preserve"> or an EGM </w:t>
      </w:r>
      <w:r w:rsidR="00204F96" w:rsidRPr="00204F96">
        <w:rPr>
          <w:rFonts w:ascii="Arial" w:hAnsi="Arial" w:cs="Arial"/>
          <w:sz w:val="24"/>
          <w:szCs w:val="24"/>
        </w:rPr>
        <w:t>for it to be a legally enforceable</w:t>
      </w:r>
      <w:r>
        <w:rPr>
          <w:rFonts w:ascii="Arial" w:hAnsi="Arial" w:cs="Arial"/>
          <w:sz w:val="24"/>
          <w:szCs w:val="24"/>
        </w:rPr>
        <w:t xml:space="preserve"> debt and any charge</w:t>
      </w:r>
      <w:r w:rsidR="00204F96" w:rsidRPr="00204F96">
        <w:rPr>
          <w:rFonts w:ascii="Arial" w:hAnsi="Arial" w:cs="Arial"/>
          <w:sz w:val="24"/>
          <w:szCs w:val="24"/>
        </w:rPr>
        <w:t xml:space="preserve"> has to be equitable – </w:t>
      </w:r>
      <w:r>
        <w:rPr>
          <w:rFonts w:ascii="Arial" w:hAnsi="Arial" w:cs="Arial"/>
          <w:sz w:val="24"/>
          <w:szCs w:val="24"/>
        </w:rPr>
        <w:t xml:space="preserve">but </w:t>
      </w:r>
      <w:r w:rsidR="00204F96" w:rsidRPr="00204F96">
        <w:rPr>
          <w:rFonts w:ascii="Arial" w:hAnsi="Arial" w:cs="Arial"/>
          <w:sz w:val="24"/>
          <w:szCs w:val="24"/>
        </w:rPr>
        <w:t>it is inequitable for others to meet the cost of enforcement</w:t>
      </w:r>
      <w:r>
        <w:rPr>
          <w:rFonts w:ascii="Arial" w:hAnsi="Arial" w:cs="Arial"/>
          <w:sz w:val="24"/>
          <w:szCs w:val="24"/>
        </w:rPr>
        <w:t xml:space="preserve"> relating to one property in arrears</w:t>
      </w:r>
      <w:r w:rsidR="00204F96" w:rsidRPr="00204F96">
        <w:rPr>
          <w:rFonts w:ascii="Arial" w:hAnsi="Arial" w:cs="Arial"/>
          <w:sz w:val="24"/>
          <w:szCs w:val="24"/>
        </w:rPr>
        <w:t xml:space="preserve">.  </w:t>
      </w:r>
      <w:r>
        <w:rPr>
          <w:rFonts w:ascii="Arial" w:hAnsi="Arial" w:cs="Arial"/>
          <w:sz w:val="24"/>
          <w:szCs w:val="24"/>
        </w:rPr>
        <w:t xml:space="preserve">It might be </w:t>
      </w:r>
      <w:proofErr w:type="spellStart"/>
      <w:r>
        <w:rPr>
          <w:rFonts w:ascii="Arial" w:hAnsi="Arial" w:cs="Arial"/>
          <w:sz w:val="24"/>
          <w:szCs w:val="24"/>
        </w:rPr>
        <w:t>seen</w:t>
      </w:r>
      <w:proofErr w:type="spellEnd"/>
      <w:r>
        <w:rPr>
          <w:rFonts w:ascii="Arial" w:hAnsi="Arial" w:cs="Arial"/>
          <w:sz w:val="24"/>
          <w:szCs w:val="24"/>
        </w:rPr>
        <w:t xml:space="preserve"> as unequitable if any of the charges were see as a “punishment” so it would be best to only pass on the actual costs of enforcement.  </w:t>
      </w:r>
    </w:p>
    <w:p w:rsidR="00A337F5" w:rsidRDefault="00A337F5">
      <w:pPr>
        <w:rPr>
          <w:rFonts w:ascii="Arial" w:hAnsi="Arial" w:cs="Arial"/>
          <w:sz w:val="24"/>
          <w:szCs w:val="24"/>
        </w:rPr>
      </w:pPr>
    </w:p>
    <w:p w:rsidR="00A337F5" w:rsidRDefault="008A0267">
      <w:pPr>
        <w:rPr>
          <w:rFonts w:ascii="Arial" w:hAnsi="Arial" w:cs="Arial"/>
          <w:sz w:val="24"/>
          <w:szCs w:val="24"/>
        </w:rPr>
      </w:pPr>
      <w:r>
        <w:rPr>
          <w:rFonts w:ascii="Arial" w:hAnsi="Arial" w:cs="Arial"/>
          <w:sz w:val="24"/>
          <w:szCs w:val="24"/>
        </w:rPr>
        <w:t>Finally t</w:t>
      </w:r>
      <w:r w:rsidR="00A337F5" w:rsidRPr="00204F96">
        <w:rPr>
          <w:rFonts w:ascii="Arial" w:hAnsi="Arial" w:cs="Arial"/>
          <w:sz w:val="24"/>
          <w:szCs w:val="24"/>
        </w:rPr>
        <w:t xml:space="preserve">he </w:t>
      </w:r>
      <w:r w:rsidR="00A337F5">
        <w:rPr>
          <w:rFonts w:ascii="Arial" w:hAnsi="Arial" w:cs="Arial"/>
          <w:sz w:val="24"/>
          <w:szCs w:val="24"/>
        </w:rPr>
        <w:t>service charge</w:t>
      </w:r>
      <w:r>
        <w:rPr>
          <w:rFonts w:ascii="Arial" w:hAnsi="Arial" w:cs="Arial"/>
          <w:sz w:val="24"/>
          <w:szCs w:val="24"/>
        </w:rPr>
        <w:t xml:space="preserve"> is due by the owner – if a</w:t>
      </w:r>
      <w:r w:rsidR="00A337F5" w:rsidRPr="00204F96">
        <w:rPr>
          <w:rFonts w:ascii="Arial" w:hAnsi="Arial" w:cs="Arial"/>
          <w:sz w:val="24"/>
          <w:szCs w:val="24"/>
        </w:rPr>
        <w:t xml:space="preserve"> tenant does not pay</w:t>
      </w:r>
      <w:r w:rsidR="00A337F5">
        <w:rPr>
          <w:rFonts w:ascii="Arial" w:hAnsi="Arial" w:cs="Arial"/>
          <w:sz w:val="24"/>
          <w:szCs w:val="24"/>
        </w:rPr>
        <w:t>,</w:t>
      </w:r>
      <w:r w:rsidR="00A337F5" w:rsidRPr="00204F96">
        <w:rPr>
          <w:rFonts w:ascii="Arial" w:hAnsi="Arial" w:cs="Arial"/>
          <w:sz w:val="24"/>
          <w:szCs w:val="24"/>
        </w:rPr>
        <w:t xml:space="preserve"> it is payable by the owner.  </w:t>
      </w:r>
    </w:p>
    <w:p w:rsidR="008368D8" w:rsidRDefault="008368D8" w:rsidP="008368D8">
      <w:pPr>
        <w:autoSpaceDE w:val="0"/>
        <w:autoSpaceDN w:val="0"/>
        <w:adjustRightInd w:val="0"/>
        <w:rPr>
          <w:rFonts w:ascii="Calibri,Bold" w:hAnsi="Calibri,Bold" w:cs="Calibri,Bold"/>
          <w:b/>
          <w:bCs/>
          <w:sz w:val="23"/>
          <w:szCs w:val="23"/>
        </w:rPr>
      </w:pPr>
      <w:r>
        <w:rPr>
          <w:rFonts w:ascii="Calibri,Bold" w:hAnsi="Calibri,Bold" w:cs="Calibri,Bold"/>
          <w:b/>
          <w:bCs/>
          <w:sz w:val="23"/>
          <w:szCs w:val="23"/>
        </w:rPr>
        <w:lastRenderedPageBreak/>
        <w:t>Disclaimer</w:t>
      </w:r>
    </w:p>
    <w:p w:rsidR="008368D8" w:rsidRDefault="008368D8" w:rsidP="008368D8">
      <w:pPr>
        <w:autoSpaceDE w:val="0"/>
        <w:autoSpaceDN w:val="0"/>
        <w:adjustRightInd w:val="0"/>
        <w:rPr>
          <w:rFonts w:cs="Calibri"/>
        </w:rPr>
      </w:pPr>
      <w:r>
        <w:rPr>
          <w:rFonts w:cs="Calibri"/>
        </w:rPr>
        <w:t>This document is for information purposes only and does not give, o</w:t>
      </w:r>
      <w:r>
        <w:rPr>
          <w:rFonts w:cs="Calibri"/>
        </w:rPr>
        <w:t xml:space="preserve">r purport to give, professional </w:t>
      </w:r>
      <w:r>
        <w:rPr>
          <w:rFonts w:cs="Calibri"/>
        </w:rPr>
        <w:t>advice. It should, accordingly, not be relied upon as such. No party shoul</w:t>
      </w:r>
      <w:r>
        <w:rPr>
          <w:rFonts w:cs="Calibri"/>
        </w:rPr>
        <w:t xml:space="preserve">d act or refrain from acting on </w:t>
      </w:r>
      <w:r>
        <w:rPr>
          <w:rFonts w:cs="Calibri"/>
        </w:rPr>
        <w:t>the basis of any material contained in this document without seeking a</w:t>
      </w:r>
      <w:r>
        <w:rPr>
          <w:rFonts w:cs="Calibri"/>
        </w:rPr>
        <w:t xml:space="preserve">ppropriate professional advice. </w:t>
      </w:r>
      <w:r>
        <w:rPr>
          <w:rFonts w:cs="Calibri"/>
        </w:rPr>
        <w:t>ACCA does not guarantee the accuracy or veracity of any</w:t>
      </w:r>
      <w:r>
        <w:rPr>
          <w:rFonts w:cs="Calibri"/>
        </w:rPr>
        <w:t xml:space="preserve"> information or opinion, or the </w:t>
      </w:r>
      <w:r>
        <w:rPr>
          <w:rFonts w:cs="Calibri"/>
        </w:rPr>
        <w:t>appropriateness, suitability or applicability of any practice or procedure contained in the docum</w:t>
      </w:r>
      <w:r>
        <w:rPr>
          <w:rFonts w:cs="Calibri"/>
        </w:rPr>
        <w:t xml:space="preserve">ent. To </w:t>
      </w:r>
      <w:r>
        <w:rPr>
          <w:rFonts w:cs="Calibri"/>
        </w:rPr>
        <w:t>the fullest extent permitted by applicable law, ACCA shall not therefore be</w:t>
      </w:r>
      <w:r>
        <w:rPr>
          <w:rFonts w:cs="Calibri"/>
        </w:rPr>
        <w:t xml:space="preserve"> liable for any damage or loss, </w:t>
      </w:r>
      <w:r>
        <w:rPr>
          <w:rFonts w:cs="Calibri"/>
        </w:rPr>
        <w:t xml:space="preserve">including but not limited to, indirect or consequential loss or damage, </w:t>
      </w:r>
      <w:r>
        <w:rPr>
          <w:rFonts w:cs="Calibri"/>
        </w:rPr>
        <w:t xml:space="preserve">loss of data, income, profit or </w:t>
      </w:r>
      <w:r>
        <w:rPr>
          <w:rFonts w:cs="Calibri"/>
        </w:rPr>
        <w:t>opportunity and claims of third parties, whether arising from the neglig</w:t>
      </w:r>
      <w:r>
        <w:rPr>
          <w:rFonts w:cs="Calibri"/>
        </w:rPr>
        <w:t xml:space="preserve">ence, or otherwise of ACCA, its </w:t>
      </w:r>
      <w:r>
        <w:rPr>
          <w:rFonts w:cs="Calibri"/>
        </w:rPr>
        <w:t>employees, servants or agents, or of the authors who contributed to the text.</w:t>
      </w:r>
    </w:p>
    <w:p w:rsidR="008368D8" w:rsidRDefault="008368D8" w:rsidP="008368D8">
      <w:pPr>
        <w:autoSpaceDE w:val="0"/>
        <w:autoSpaceDN w:val="0"/>
        <w:adjustRightInd w:val="0"/>
        <w:rPr>
          <w:rFonts w:cs="Calibri"/>
        </w:rPr>
      </w:pPr>
      <w:r>
        <w:rPr>
          <w:rFonts w:cs="Calibri"/>
        </w:rPr>
        <w:t>Similarly, to the fullest extent permitted by applicable law, ACCA shall n</w:t>
      </w:r>
      <w:r>
        <w:rPr>
          <w:rFonts w:cs="Calibri"/>
        </w:rPr>
        <w:t xml:space="preserve">ot be liable for damage or loss </w:t>
      </w:r>
      <w:r>
        <w:rPr>
          <w:rFonts w:cs="Calibri"/>
        </w:rPr>
        <w:t>occasioned by actions, or failure to act, by any third party, in reliance u</w:t>
      </w:r>
      <w:r>
        <w:rPr>
          <w:rFonts w:cs="Calibri"/>
        </w:rPr>
        <w:t xml:space="preserve">pon the terms of this document, </w:t>
      </w:r>
      <w:r>
        <w:rPr>
          <w:rFonts w:cs="Calibri"/>
        </w:rPr>
        <w:t>which result in losses incurred either by ACCA members, those for who</w:t>
      </w:r>
      <w:r>
        <w:rPr>
          <w:rFonts w:cs="Calibri"/>
        </w:rPr>
        <w:t xml:space="preserve">m they act as agents, those who </w:t>
      </w:r>
      <w:r>
        <w:rPr>
          <w:rFonts w:cs="Calibri"/>
        </w:rPr>
        <w:t>rely upon them for advice, or any third party. ACCA shall not be liable for</w:t>
      </w:r>
      <w:r>
        <w:rPr>
          <w:rFonts w:cs="Calibri"/>
        </w:rPr>
        <w:t xml:space="preserve"> damage or loss occasioned as a </w:t>
      </w:r>
      <w:r>
        <w:rPr>
          <w:rFonts w:cs="Calibri"/>
        </w:rPr>
        <w:t>result of any inaccurate, mistaken or negligent misstatement contained in this document.</w:t>
      </w:r>
    </w:p>
    <w:p w:rsidR="008368D8" w:rsidRDefault="008368D8" w:rsidP="008368D8">
      <w:pPr>
        <w:autoSpaceDE w:val="0"/>
        <w:autoSpaceDN w:val="0"/>
        <w:adjustRightInd w:val="0"/>
        <w:rPr>
          <w:rFonts w:cs="Calibri"/>
        </w:rPr>
      </w:pPr>
    </w:p>
    <w:p w:rsidR="008368D8" w:rsidRPr="00204F96" w:rsidRDefault="008368D8" w:rsidP="008368D8">
      <w:pPr>
        <w:rPr>
          <w:rFonts w:ascii="Arial" w:hAnsi="Arial" w:cs="Arial"/>
          <w:sz w:val="24"/>
          <w:szCs w:val="24"/>
        </w:rPr>
      </w:pPr>
      <w:bookmarkStart w:id="0" w:name="_GoBack"/>
      <w:bookmarkEnd w:id="0"/>
    </w:p>
    <w:sectPr w:rsidR="008368D8" w:rsidRPr="00204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97196"/>
    <w:multiLevelType w:val="hybridMultilevel"/>
    <w:tmpl w:val="AC6C5A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96"/>
    <w:rsid w:val="00204F96"/>
    <w:rsid w:val="003E419C"/>
    <w:rsid w:val="003F6435"/>
    <w:rsid w:val="00543DD7"/>
    <w:rsid w:val="00774035"/>
    <w:rsid w:val="008368D8"/>
    <w:rsid w:val="008A0267"/>
    <w:rsid w:val="00A337F5"/>
    <w:rsid w:val="00C9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F9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F9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F9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F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14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FD4DE-25AC-4C4D-A47D-D8F9B128B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Clifford</dc:creator>
  <cp:lastModifiedBy>Aidan Clifford</cp:lastModifiedBy>
  <cp:revision>2</cp:revision>
  <dcterms:created xsi:type="dcterms:W3CDTF">2018-01-24T16:14:00Z</dcterms:created>
  <dcterms:modified xsi:type="dcterms:W3CDTF">2018-01-24T16:46:00Z</dcterms:modified>
</cp:coreProperties>
</file>