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B02" w:rsidRDefault="00CF7B02">
      <w:bookmarkStart w:id="0" w:name="_GoBack"/>
      <w:bookmarkEnd w:id="0"/>
    </w:p>
    <w:p w:rsidR="00CF7B02" w:rsidRDefault="00CF7B02"/>
    <w:p w:rsidR="00CF7B02" w:rsidRDefault="00CF7B02"/>
    <w:tbl>
      <w:tblPr>
        <w:tblW w:w="10463" w:type="dxa"/>
        <w:tblLayout w:type="fixed"/>
        <w:tblCellMar>
          <w:left w:w="0" w:type="dxa"/>
          <w:right w:w="0" w:type="dxa"/>
        </w:tblCellMar>
        <w:tblLook w:val="0000" w:firstRow="0" w:lastRow="0" w:firstColumn="0" w:lastColumn="0" w:noHBand="0" w:noVBand="0"/>
      </w:tblPr>
      <w:tblGrid>
        <w:gridCol w:w="2977"/>
        <w:gridCol w:w="7486"/>
      </w:tblGrid>
      <w:tr w:rsidR="004E776C" w:rsidTr="00CF523F">
        <w:trPr>
          <w:cantSplit/>
          <w:trHeight w:val="1316"/>
        </w:trPr>
        <w:tc>
          <w:tcPr>
            <w:tcW w:w="2977" w:type="dxa"/>
            <w:tcBorders>
              <w:left w:val="nil"/>
            </w:tcBorders>
          </w:tcPr>
          <w:p w:rsidR="004E776C" w:rsidRDefault="00CF523F" w:rsidP="00745023">
            <w:bookmarkStart w:id="1" w:name="bmkHMRCLOGO"/>
            <w:r>
              <w:rPr>
                <w:noProof/>
                <w:color w:val="0000FF"/>
                <w:lang w:val="en-GB" w:eastAsia="en-GB" w:bidi="ar-SA"/>
              </w:rPr>
              <w:drawing>
                <wp:inline distT="0" distB="0" distL="0" distR="0">
                  <wp:extent cx="1113155" cy="760095"/>
                  <wp:effectExtent l="0" t="0" r="0" b="1905"/>
                  <wp:docPr id="3" name="Picture 3" descr="HMRC14-WEL-blk-3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RC14-WEL-blk-35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3155" cy="760095"/>
                          </a:xfrm>
                          <a:prstGeom prst="rect">
                            <a:avLst/>
                          </a:prstGeom>
                          <a:noFill/>
                          <a:ln>
                            <a:noFill/>
                          </a:ln>
                        </pic:spPr>
                      </pic:pic>
                    </a:graphicData>
                  </a:graphic>
                </wp:inline>
              </w:drawing>
            </w:r>
            <w:bookmarkEnd w:id="1"/>
          </w:p>
        </w:tc>
        <w:tc>
          <w:tcPr>
            <w:tcW w:w="7486" w:type="dxa"/>
            <w:tcBorders>
              <w:left w:val="nil"/>
            </w:tcBorders>
            <w:vAlign w:val="bottom"/>
          </w:tcPr>
          <w:p w:rsidR="004E776C" w:rsidRPr="00A538A1" w:rsidRDefault="004E776C" w:rsidP="00745023">
            <w:pPr>
              <w:pStyle w:val="Formtitle1line"/>
            </w:pPr>
            <w:r>
              <w:t>Cyfraddau Treth Incwm Cymru (CTIC)</w:t>
            </w:r>
          </w:p>
        </w:tc>
      </w:tr>
    </w:tbl>
    <w:p w:rsidR="004E776C" w:rsidRDefault="004E776C" w:rsidP="004E776C">
      <w:pPr>
        <w:pStyle w:val="Spacebeforetable"/>
      </w:pPr>
    </w:p>
    <w:tbl>
      <w:tblPr>
        <w:tblW w:w="10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284"/>
        <w:gridCol w:w="3782"/>
      </w:tblGrid>
      <w:tr w:rsidR="004E776C" w:rsidRPr="00760710" w:rsidTr="00CF7B02">
        <w:trPr>
          <w:cantSplit/>
          <w:trHeight w:val="11869"/>
        </w:trPr>
        <w:tc>
          <w:tcPr>
            <w:tcW w:w="6521" w:type="dxa"/>
            <w:vMerge w:val="restart"/>
            <w:tcBorders>
              <w:top w:val="nil"/>
              <w:left w:val="nil"/>
              <w:right w:val="nil"/>
            </w:tcBorders>
            <w:shd w:val="clear" w:color="auto" w:fill="auto"/>
            <w:tcMar>
              <w:left w:w="0" w:type="dxa"/>
              <w:right w:w="0" w:type="dxa"/>
            </w:tcMar>
          </w:tcPr>
          <w:p w:rsidR="004E776C" w:rsidRPr="00A538A1" w:rsidRDefault="00803941" w:rsidP="00745023">
            <w:pPr>
              <w:pStyle w:val="Formheader"/>
            </w:pPr>
            <w:r>
              <w:t>Gwybodaeth i g</w:t>
            </w:r>
            <w:r w:rsidR="00820FD5">
              <w:t>yflogwyr</w:t>
            </w:r>
          </w:p>
          <w:p w:rsidR="004E776C" w:rsidRPr="00A538A1" w:rsidRDefault="00FD5385" w:rsidP="00745023">
            <w:pPr>
              <w:pStyle w:val="Bodytext"/>
            </w:pPr>
            <w:r>
              <w:t>Bydd cyfraddau Treth Incwm Cymru yn dod i rym ar 6 Ebrill 2019, sef blwyddyn dreth 2019 i 2020 ymlaen.</w:t>
            </w:r>
          </w:p>
          <w:p w:rsidR="004E776C" w:rsidRDefault="00820FD5" w:rsidP="00CF7B02">
            <w:pPr>
              <w:pStyle w:val="HeadingA"/>
              <w:spacing w:before="240"/>
            </w:pPr>
            <w:r>
              <w:t>Sut y bydd y newidiadau’n effeithio arnoch</w:t>
            </w:r>
          </w:p>
          <w:p w:rsidR="00820FD5" w:rsidRPr="00CF7B02" w:rsidRDefault="00803941" w:rsidP="00820FD5">
            <w:pPr>
              <w:pStyle w:val="HeadingB"/>
            </w:pPr>
            <w:r>
              <w:t>Nodi c</w:t>
            </w:r>
            <w:r w:rsidR="00820FD5" w:rsidRPr="00CF7B02">
              <w:t>yflogeion sy</w:t>
            </w:r>
            <w:r>
              <w:t>’n drethdalwyr Cymreig</w:t>
            </w:r>
          </w:p>
          <w:p w:rsidR="00820FD5" w:rsidRPr="00CF7B02" w:rsidRDefault="00820FD5" w:rsidP="00745023">
            <w:pPr>
              <w:pStyle w:val="Bodytext"/>
              <w:rPr>
                <w:sz w:val="23"/>
                <w:szCs w:val="23"/>
              </w:rPr>
            </w:pPr>
            <w:r w:rsidRPr="00CF7B02">
              <w:rPr>
                <w:sz w:val="23"/>
                <w:szCs w:val="23"/>
              </w:rPr>
              <w:t xml:space="preserve">Ni fydd cyflogwyr yn gyfrifol am nodi trethdalwyr Cymreig, CThEM fydd yn gwneud hynny. </w:t>
            </w:r>
          </w:p>
          <w:p w:rsidR="004E776C" w:rsidRPr="00CF7B02" w:rsidRDefault="00820FD5" w:rsidP="00745023">
            <w:pPr>
              <w:pStyle w:val="Bodytext"/>
              <w:rPr>
                <w:sz w:val="23"/>
                <w:szCs w:val="23"/>
              </w:rPr>
            </w:pPr>
            <w:r w:rsidRPr="00CF7B02">
              <w:rPr>
                <w:sz w:val="23"/>
                <w:szCs w:val="23"/>
              </w:rPr>
              <w:t>Bydd CThEM yn dweud wrthych ba god treth sy’n briodol i’w ddefnyddio ar gyfer cyflogai cyn cyflwyno cyfraddau treth incwm Cymru. Bydd codau treth ar gyfer trethdalwyr Cymreig yn dechrau gyda’r llythyren ‘C’.</w:t>
            </w:r>
          </w:p>
          <w:p w:rsidR="00820FD5" w:rsidRPr="00CF7B02" w:rsidRDefault="00820FD5" w:rsidP="00745023">
            <w:pPr>
              <w:pStyle w:val="Bodytext"/>
              <w:rPr>
                <w:sz w:val="23"/>
                <w:szCs w:val="23"/>
              </w:rPr>
            </w:pPr>
            <w:r w:rsidRPr="00CF7B02">
              <w:rPr>
                <w:sz w:val="23"/>
                <w:szCs w:val="23"/>
              </w:rPr>
              <w:t>Os yw’r cyflogai wedi’i nodi fel trethdalwr Cymreig, bydd hynny oherwydd y rhesymau canlynol:</w:t>
            </w:r>
          </w:p>
          <w:p w:rsidR="00820FD5" w:rsidRPr="00CF7B02" w:rsidRDefault="00820FD5" w:rsidP="00820FD5">
            <w:pPr>
              <w:pStyle w:val="Bullettext"/>
              <w:rPr>
                <w:sz w:val="23"/>
                <w:szCs w:val="23"/>
              </w:rPr>
            </w:pPr>
            <w:r w:rsidRPr="00CF7B02">
              <w:rPr>
                <w:sz w:val="23"/>
                <w:szCs w:val="23"/>
              </w:rPr>
              <w:t xml:space="preserve">mae’n breswylydd yn y DU at ddibenion treth </w:t>
            </w:r>
          </w:p>
          <w:p w:rsidR="00820FD5" w:rsidRPr="00CF7B02" w:rsidRDefault="00820FD5" w:rsidP="00820FD5">
            <w:pPr>
              <w:pStyle w:val="Bullettext"/>
              <w:rPr>
                <w:sz w:val="23"/>
                <w:szCs w:val="23"/>
              </w:rPr>
            </w:pPr>
            <w:r w:rsidRPr="00CF7B02">
              <w:rPr>
                <w:sz w:val="23"/>
                <w:szCs w:val="23"/>
              </w:rPr>
              <w:t xml:space="preserve">mae ei brif fan preswylio wedi bod yng Nghymru am fwy o’r flwyddyn nag mewn </w:t>
            </w:r>
            <w:r w:rsidR="00803941">
              <w:rPr>
                <w:sz w:val="23"/>
                <w:szCs w:val="23"/>
              </w:rPr>
              <w:t>unrhyw ran arall o’r DU</w:t>
            </w:r>
          </w:p>
          <w:p w:rsidR="004E776C" w:rsidRDefault="00803941" w:rsidP="00CF7B02">
            <w:pPr>
              <w:pStyle w:val="HeadingA"/>
              <w:spacing w:before="240"/>
            </w:pPr>
            <w:r>
              <w:t>Newidiadau ar gyfer c</w:t>
            </w:r>
            <w:r w:rsidR="00820FD5">
              <w:t>yflogwyr</w:t>
            </w:r>
          </w:p>
          <w:p w:rsidR="00CA18AF" w:rsidRPr="00CF7B02" w:rsidRDefault="004A1090" w:rsidP="004A1090">
            <w:pPr>
              <w:rPr>
                <w:sz w:val="23"/>
                <w:szCs w:val="23"/>
              </w:rPr>
            </w:pPr>
            <w:r w:rsidRPr="00CF7B02">
              <w:rPr>
                <w:sz w:val="23"/>
                <w:szCs w:val="23"/>
              </w:rPr>
              <w:t>Bydd angen i chi ddefnyddio meddalwedd cyflogres neu weithredu cyfres o dablau treth i gyfrifo treth y cyflogeion hynny sy’n drethdalwyr Cymreig.  Ni fydd unrhyw newid i’r ffordd rydych yn rhoi gwybod am dreth incwm neu’i thalu i CThEM, a</w:t>
            </w:r>
            <w:r w:rsidR="00803941">
              <w:rPr>
                <w:sz w:val="23"/>
                <w:szCs w:val="23"/>
              </w:rPr>
              <w:t>r</w:t>
            </w:r>
            <w:r w:rsidRPr="00CF7B02">
              <w:rPr>
                <w:sz w:val="23"/>
                <w:szCs w:val="23"/>
              </w:rPr>
              <w:t xml:space="preserve"> wahân i ddefnyddio’r cod treth Cymreig priodol ar gyfer cyflogeion Cymru, ar gyfer pob amlder talu. Bydd lwfansau personol yn aros yr un fath â’r rheini yng ngweddill y DU. Bydd haenau treth yn aros yr un fath â’r rheini yn Lloegr a Gogledd Iwerddon</w:t>
            </w:r>
            <w:r w:rsidR="00BA5A73">
              <w:rPr>
                <w:sz w:val="23"/>
                <w:szCs w:val="23"/>
              </w:rPr>
              <w:t>.</w:t>
            </w:r>
          </w:p>
          <w:p w:rsidR="00F85E88" w:rsidRDefault="00803941" w:rsidP="00CF7B02">
            <w:pPr>
              <w:pStyle w:val="HeadingA"/>
              <w:spacing w:before="240"/>
              <w:rPr>
                <w:rFonts w:eastAsia="Calibri"/>
              </w:rPr>
            </w:pPr>
            <w:r>
              <w:t>Codau ar gyfer cyflogeion n</w:t>
            </w:r>
            <w:r w:rsidR="00F85E88">
              <w:t>ewydd</w:t>
            </w:r>
          </w:p>
          <w:p w:rsidR="003335C2" w:rsidRPr="00CF7B02" w:rsidRDefault="003335C2" w:rsidP="000A0448">
            <w:pPr>
              <w:spacing w:before="120"/>
              <w:rPr>
                <w:rFonts w:cs="Arial"/>
                <w:sz w:val="23"/>
                <w:szCs w:val="23"/>
              </w:rPr>
            </w:pPr>
            <w:r w:rsidRPr="00CF7B02">
              <w:rPr>
                <w:sz w:val="23"/>
                <w:szCs w:val="23"/>
              </w:rPr>
              <w:t>Dilynwch y rheolau presennol ar gyfer cyflogeion newydd. Bydd CThEM yn diweddaru’r arweiniad i adlewyrchu’r angen i gyflogwr ddefnyddio</w:t>
            </w:r>
            <w:r w:rsidR="00BA5A73">
              <w:rPr>
                <w:sz w:val="23"/>
                <w:szCs w:val="23"/>
              </w:rPr>
              <w:t xml:space="preserve"> dull gweithredu cyffredinol </w:t>
            </w:r>
            <w:r w:rsidRPr="00CF7B02">
              <w:rPr>
                <w:sz w:val="23"/>
                <w:szCs w:val="23"/>
              </w:rPr>
              <w:t>oni bai y gall y cyflogai gyflwyno P45. Bydd CThEM yn rhoi gwybod i chi beth yw’r cod priodol i’w ddefnyddio ar ôl i chi gyflwyno manylion cyflogeion newydd (er enghraifft, ar ôl i chi eu cynnwys ar y Cyflwyniad Taliadau Llawn cyntaf y byddwch yn ei wneud ar ôl iddynt ymuno).</w:t>
            </w:r>
          </w:p>
          <w:p w:rsidR="00F85E88" w:rsidRDefault="00F85E88" w:rsidP="00F85E88">
            <w:pPr>
              <w:pStyle w:val="HeadingA"/>
            </w:pPr>
            <w:r>
              <w:t>Yswiriant Gwladol</w:t>
            </w:r>
          </w:p>
          <w:p w:rsidR="000D3209" w:rsidRDefault="00F85E88" w:rsidP="00F85E88">
            <w:pPr>
              <w:pStyle w:val="Bodytext"/>
            </w:pPr>
            <w:r w:rsidRPr="00CF7B02">
              <w:rPr>
                <w:sz w:val="23"/>
                <w:szCs w:val="23"/>
              </w:rPr>
              <w:t>Nid yw cyfraddau Treth Incwm Cymru yn gysylltiedig â didyniadau’r cyfraniadau</w:t>
            </w:r>
            <w:r w:rsidR="00AC409C">
              <w:rPr>
                <w:sz w:val="23"/>
                <w:szCs w:val="23"/>
              </w:rPr>
              <w:t xml:space="preserve"> Yswiriant Gwladol rydych yn eu t</w:t>
            </w:r>
            <w:r w:rsidRPr="00CF7B02">
              <w:rPr>
                <w:sz w:val="23"/>
                <w:szCs w:val="23"/>
              </w:rPr>
              <w:t>alu ar</w:t>
            </w:r>
            <w:r w:rsidR="00803941">
              <w:rPr>
                <w:sz w:val="23"/>
                <w:szCs w:val="23"/>
              </w:rPr>
              <w:t xml:space="preserve"> </w:t>
            </w:r>
            <w:r w:rsidRPr="00CF7B02">
              <w:rPr>
                <w:sz w:val="23"/>
                <w:szCs w:val="23"/>
              </w:rPr>
              <w:t>gyfer eich cyflogeion</w:t>
            </w:r>
            <w:r>
              <w:t>.</w:t>
            </w:r>
          </w:p>
          <w:p w:rsidR="000D3209" w:rsidRPr="000D3209" w:rsidRDefault="000D3209" w:rsidP="000D3209"/>
          <w:p w:rsidR="000D3209" w:rsidRPr="000D3209" w:rsidRDefault="000D3209" w:rsidP="000D3209"/>
          <w:p w:rsidR="004E776C" w:rsidRPr="000D3209" w:rsidRDefault="004E776C" w:rsidP="000D3209"/>
        </w:tc>
        <w:tc>
          <w:tcPr>
            <w:tcW w:w="284" w:type="dxa"/>
            <w:vMerge w:val="restart"/>
            <w:tcBorders>
              <w:top w:val="nil"/>
              <w:left w:val="nil"/>
              <w:right w:val="single" w:sz="6" w:space="0" w:color="auto"/>
            </w:tcBorders>
            <w:shd w:val="clear" w:color="auto" w:fill="auto"/>
          </w:tcPr>
          <w:p w:rsidR="004E776C" w:rsidRDefault="004E776C" w:rsidP="00745023">
            <w:pPr>
              <w:pStyle w:val="Spacebeforetable"/>
            </w:pPr>
          </w:p>
        </w:tc>
        <w:tc>
          <w:tcPr>
            <w:tcW w:w="3782" w:type="dxa"/>
            <w:tcBorders>
              <w:top w:val="single" w:sz="6" w:space="0" w:color="auto"/>
              <w:left w:val="single" w:sz="6" w:space="0" w:color="auto"/>
              <w:bottom w:val="nil"/>
              <w:right w:val="single" w:sz="6" w:space="0" w:color="auto"/>
            </w:tcBorders>
            <w:shd w:val="clear" w:color="auto" w:fill="auto"/>
            <w:tcMar>
              <w:top w:w="108" w:type="dxa"/>
              <w:bottom w:w="108" w:type="dxa"/>
            </w:tcMar>
          </w:tcPr>
          <w:p w:rsidR="004E776C" w:rsidRDefault="00AC0EDD" w:rsidP="00745023">
            <w:pPr>
              <w:pStyle w:val="Panelheading"/>
              <w:spacing w:before="0"/>
            </w:pPr>
            <w:r>
              <w:t>Beth yw cyfraddau Treth Incwm Cymru?</w:t>
            </w:r>
          </w:p>
          <w:p w:rsidR="00F85E88" w:rsidRPr="00CF7B02" w:rsidRDefault="00F85E88" w:rsidP="0099491C">
            <w:pPr>
              <w:pStyle w:val="PanelBodytext"/>
              <w:rPr>
                <w:sz w:val="21"/>
                <w:szCs w:val="21"/>
              </w:rPr>
            </w:pPr>
            <w:r w:rsidRPr="00CF7B02">
              <w:rPr>
                <w:sz w:val="21"/>
                <w:szCs w:val="21"/>
              </w:rPr>
              <w:t xml:space="preserve">Cafodd </w:t>
            </w:r>
            <w:r w:rsidR="00AC409C">
              <w:rPr>
                <w:sz w:val="21"/>
                <w:szCs w:val="21"/>
              </w:rPr>
              <w:t>c</w:t>
            </w:r>
            <w:r w:rsidRPr="00CF7B02">
              <w:rPr>
                <w:sz w:val="21"/>
                <w:szCs w:val="21"/>
              </w:rPr>
              <w:t xml:space="preserve">yfraddau Treth Incwm Cymru eu cyflwyno yn Neddf Cymru 2014 er mwyn rhoi mwy o reolaeth i Lywodraeth Cymru dros gyfran o gyllideb Cymru a sut mae’r arian yn cael ei gasglu a’i ddyrannu. </w:t>
            </w:r>
          </w:p>
          <w:p w:rsidR="00F85E88" w:rsidRPr="00CF7B02" w:rsidRDefault="00F85E88" w:rsidP="0099491C">
            <w:pPr>
              <w:pStyle w:val="PanelBodytext"/>
              <w:rPr>
                <w:sz w:val="21"/>
                <w:szCs w:val="21"/>
              </w:rPr>
            </w:pPr>
            <w:r w:rsidRPr="00CF7B02">
              <w:rPr>
                <w:sz w:val="21"/>
                <w:szCs w:val="21"/>
              </w:rPr>
              <w:t xml:space="preserve">Os yw’ch cyflogeion wedi cael eu nodi’n drethdalwyr Cymreig, byddant yn talu cyfraddau treth incwm Cymru ar eu henillion a, gan ddibynnu ar </w:t>
            </w:r>
            <w:r w:rsidR="00AC409C">
              <w:rPr>
                <w:sz w:val="21"/>
                <w:szCs w:val="21"/>
              </w:rPr>
              <w:t>y</w:t>
            </w:r>
            <w:r w:rsidRPr="00CF7B02">
              <w:rPr>
                <w:sz w:val="21"/>
                <w:szCs w:val="21"/>
              </w:rPr>
              <w:t xml:space="preserve"> lefel y mae Llywodraeth Cymru yn penderfynu pennu’r gyfradd honno, mae’n bosibl y byddant yn talu cyfradd dreth wahanol yn gyffredinol. Bydd cyfran o’r dreth incwm y mae eich cyflogai</w:t>
            </w:r>
            <w:r w:rsidR="00AC409C">
              <w:rPr>
                <w:sz w:val="21"/>
                <w:szCs w:val="21"/>
              </w:rPr>
              <w:t>’</w:t>
            </w:r>
            <w:r w:rsidRPr="00CF7B02">
              <w:rPr>
                <w:sz w:val="21"/>
                <w:szCs w:val="21"/>
              </w:rPr>
              <w:t>n ei thalu yn ariannu Llywodraeth Cymru yn uniongyrchol a bydd y gweddill yn ariannu Llywodraeth y DU.</w:t>
            </w:r>
          </w:p>
          <w:p w:rsidR="00F85E88" w:rsidRPr="00CF7B02" w:rsidRDefault="00F85E88" w:rsidP="0099491C">
            <w:pPr>
              <w:pStyle w:val="PanelBodytext"/>
              <w:rPr>
                <w:sz w:val="21"/>
                <w:szCs w:val="21"/>
              </w:rPr>
            </w:pPr>
            <w:r w:rsidRPr="00CF7B02">
              <w:rPr>
                <w:sz w:val="21"/>
                <w:szCs w:val="21"/>
              </w:rPr>
              <w:t>Mae CThEM wedi ysgrifennu at ei holl gwsmeriaid sy’n preswylio yng Nghymru. Os yw eich cyflogeion yn talu treth drwy TWE, bydd CTh</w:t>
            </w:r>
            <w:r w:rsidR="00FF4F84">
              <w:rPr>
                <w:sz w:val="21"/>
                <w:szCs w:val="21"/>
              </w:rPr>
              <w:t>EM yn rhoi gwybod i chi a ddylech</w:t>
            </w:r>
            <w:r w:rsidRPr="00CF7B02">
              <w:rPr>
                <w:sz w:val="21"/>
                <w:szCs w:val="21"/>
              </w:rPr>
              <w:t xml:space="preserve"> eu trin fel trethdalwyr Cymreig. Bydd cyfraddau Cymru yn berthnasol i bob incwm nad yw’n deillio o gynilion na difidendau.</w:t>
            </w:r>
          </w:p>
          <w:p w:rsidR="007B0005" w:rsidRPr="00CF7B02" w:rsidRDefault="00CF523F" w:rsidP="007B0005">
            <w:pPr>
              <w:pStyle w:val="PanelBodytext"/>
              <w:rPr>
                <w:rStyle w:val="Hyperlink"/>
                <w:color w:val="auto"/>
                <w:sz w:val="21"/>
                <w:szCs w:val="21"/>
                <w:u w:val="none"/>
              </w:rPr>
            </w:pPr>
            <w:r>
              <w:rPr>
                <w:sz w:val="21"/>
                <w:szCs w:val="21"/>
              </w:rPr>
              <w:t>I gael</w:t>
            </w:r>
            <w:r w:rsidR="007B0005" w:rsidRPr="00CF7B02">
              <w:rPr>
                <w:sz w:val="21"/>
                <w:szCs w:val="21"/>
              </w:rPr>
              <w:t xml:space="preserve"> rhagor o wybodaeth</w:t>
            </w:r>
            <w:r>
              <w:rPr>
                <w:sz w:val="21"/>
                <w:szCs w:val="21"/>
              </w:rPr>
              <w:t>, ewch i</w:t>
            </w:r>
            <w:r w:rsidR="007B0005" w:rsidRPr="00CF7B02">
              <w:rPr>
                <w:sz w:val="21"/>
                <w:szCs w:val="21"/>
              </w:rPr>
              <w:t>:</w:t>
            </w:r>
            <w:r w:rsidR="007B0005" w:rsidRPr="00CF7B02">
              <w:rPr>
                <w:sz w:val="21"/>
                <w:szCs w:val="21"/>
              </w:rPr>
              <w:br/>
            </w:r>
            <w:hyperlink r:id="rId9">
              <w:r w:rsidR="007B0005" w:rsidRPr="00CF7B02">
                <w:rPr>
                  <w:rStyle w:val="Hyperlink"/>
                  <w:color w:val="auto"/>
                  <w:sz w:val="21"/>
                  <w:szCs w:val="21"/>
                  <w:u w:val="none"/>
                </w:rPr>
                <w:t>www.</w:t>
              </w:r>
              <w:r w:rsidR="00AC409C">
                <w:rPr>
                  <w:rStyle w:val="Hyperlink"/>
                  <w:color w:val="auto"/>
                  <w:sz w:val="21"/>
                  <w:szCs w:val="21"/>
                  <w:u w:val="none"/>
                </w:rPr>
                <w:t>gov.uk/treth-incwm-cymru</w:t>
              </w:r>
            </w:hyperlink>
            <w:r w:rsidR="007B0005" w:rsidRPr="00CF7B02">
              <w:rPr>
                <w:rStyle w:val="Hyperlink"/>
                <w:color w:val="auto"/>
                <w:sz w:val="21"/>
                <w:szCs w:val="21"/>
                <w:u w:val="none"/>
              </w:rPr>
              <w:br/>
            </w:r>
            <w:hyperlink r:id="rId10">
              <w:r w:rsidR="00AC409C" w:rsidRPr="00CF7B02">
                <w:rPr>
                  <w:rStyle w:val="Hyperlink"/>
                  <w:color w:val="auto"/>
                  <w:sz w:val="21"/>
                  <w:szCs w:val="21"/>
                  <w:u w:val="none"/>
                </w:rPr>
                <w:t>www.</w:t>
              </w:r>
              <w:r w:rsidR="00AC409C">
                <w:rPr>
                  <w:rStyle w:val="Hyperlink"/>
                  <w:color w:val="auto"/>
                  <w:sz w:val="21"/>
                  <w:szCs w:val="21"/>
                  <w:u w:val="none"/>
                </w:rPr>
                <w:t>llyw.cymru/trethicymru</w:t>
              </w:r>
            </w:hyperlink>
            <w:r w:rsidR="00AC409C" w:rsidRPr="00CF7B02">
              <w:rPr>
                <w:rStyle w:val="Hyperlink"/>
                <w:color w:val="auto"/>
                <w:sz w:val="21"/>
                <w:szCs w:val="21"/>
                <w:u w:val="none"/>
              </w:rPr>
              <w:t xml:space="preserve"> </w:t>
            </w:r>
          </w:p>
          <w:p w:rsidR="007B0005" w:rsidRPr="007B0005" w:rsidRDefault="007B0005" w:rsidP="007B0005">
            <w:pPr>
              <w:pStyle w:val="Panelheading"/>
              <w:rPr>
                <w:rFonts w:eastAsia="Calibri"/>
                <w:sz w:val="22"/>
                <w:szCs w:val="20"/>
              </w:rPr>
            </w:pPr>
            <w:r>
              <w:t>Pryd y bydd cyfraddau Treth Incwm Cymru yn dechrau?</w:t>
            </w:r>
          </w:p>
          <w:p w:rsidR="007B0005" w:rsidRPr="007B0005" w:rsidRDefault="0000725C" w:rsidP="007B0005">
            <w:pPr>
              <w:spacing w:before="120"/>
              <w:jc w:val="center"/>
              <w:rPr>
                <w:sz w:val="24"/>
              </w:rPr>
            </w:pPr>
            <w:r>
              <w:rPr>
                <w:rFonts w:eastAsia="Times New Roman"/>
                <w:noProof/>
                <w:sz w:val="24"/>
                <w:lang w:val="en-GB" w:eastAsia="en-GB" w:bidi="ar-SA"/>
              </w:rPr>
              <mc:AlternateContent>
                <mc:Choice Requires="wps">
                  <w:drawing>
                    <wp:anchor distT="45720" distB="45720" distL="114300" distR="114300" simplePos="0" relativeHeight="251657728" behindDoc="0" locked="0" layoutInCell="1" allowOverlap="1">
                      <wp:simplePos x="0" y="0"/>
                      <wp:positionH relativeFrom="column">
                        <wp:posOffset>584835</wp:posOffset>
                      </wp:positionH>
                      <wp:positionV relativeFrom="paragraph">
                        <wp:posOffset>593725</wp:posOffset>
                      </wp:positionV>
                      <wp:extent cx="1080135" cy="700405"/>
                      <wp:effectExtent l="0" t="0" r="0" b="444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700405"/>
                              </a:xfrm>
                              <a:prstGeom prst="rect">
                                <a:avLst/>
                              </a:prstGeom>
                              <a:noFill/>
                              <a:ln w="9525">
                                <a:noFill/>
                                <a:miter lim="800000"/>
                                <a:headEnd/>
                                <a:tailEnd/>
                              </a:ln>
                            </wps:spPr>
                            <wps:txbx>
                              <w:txbxContent>
                                <w:p w:rsidR="007B0005" w:rsidRPr="003D2E6A" w:rsidRDefault="007B0005" w:rsidP="007B0005">
                                  <w:pPr>
                                    <w:contextualSpacing/>
                                    <w:jc w:val="center"/>
                                    <w:rPr>
                                      <w:b/>
                                      <w:sz w:val="40"/>
                                      <w:szCs w:val="40"/>
                                    </w:rPr>
                                  </w:pPr>
                                  <w:r>
                                    <w:rPr>
                                      <w:b/>
                                      <w:sz w:val="40"/>
                                    </w:rPr>
                                    <w:t>6 Ebrill</w:t>
                                  </w:r>
                                </w:p>
                                <w:p w:rsidR="007B0005" w:rsidRPr="003D2E6A" w:rsidRDefault="007B0005" w:rsidP="007B0005">
                                  <w:pPr>
                                    <w:contextualSpacing/>
                                    <w:jc w:val="center"/>
                                    <w:rPr>
                                      <w:b/>
                                      <w:sz w:val="40"/>
                                      <w:szCs w:val="40"/>
                                    </w:rPr>
                                  </w:pPr>
                                  <w:r>
                                    <w:rPr>
                                      <w:b/>
                                      <w:sz w:val="40"/>
                                    </w:rPr>
                                    <w:t>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left:0;text-align:left;margin-left:46.05pt;margin-top:46.75pt;width:85.05pt;height:55.1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" filled="f" stroked="f">
                      <v:textbox>
                        <w:txbxContent>
                          <w:p w:rsidR="007B0005" w:rsidRPr="003D2E6A" w:rsidRDefault="007B0005" w:rsidP="007B0005">
                            <w:pPr>
                              <w:contextualSpacing/>
                              <w:jc w:val="center"/>
                              <w:rPr>
                                <w:b/>
                                <w:sz w:val="40"/>
                                <w:szCs w:val="40"/>
                              </w:rPr>
                            </w:pPr>
                            <w:r>
                              <w:rPr>
                                <w:b/>
                                <w:sz w:val="40"/>
                              </w:rPr>
                              <w:t>6 Ebrill</w:t>
                            </w:r>
                          </w:p>
                          <w:p w:rsidR="007B0005" w:rsidRPr="003D2E6A" w:rsidRDefault="007B0005" w:rsidP="007B0005">
                            <w:pPr>
                              <w:contextualSpacing/>
                              <w:jc w:val="center"/>
                              <w:rPr>
                                <w:b/>
                                <w:sz w:val="40"/>
                                <w:szCs w:val="40"/>
                              </w:rPr>
                            </w:pPr>
                            <w:r>
                              <w:rPr>
                                <w:b/>
                                <w:sz w:val="40"/>
                              </w:rPr>
                              <w:t>2019</w:t>
                            </w:r>
                          </w:p>
                        </w:txbxContent>
                      </v:textbox>
                    </v:shape>
                  </w:pict>
                </mc:Fallback>
              </mc:AlternateContent>
            </w:r>
            <w:r>
              <w:rPr>
                <w:noProof/>
                <w:sz w:val="24"/>
                <w:lang w:val="en-GB" w:eastAsia="en-GB" w:bidi="ar-SA"/>
              </w:rPr>
              <w:drawing>
                <wp:inline distT="0" distB="0" distL="0" distR="0">
                  <wp:extent cx="1387475" cy="1387475"/>
                  <wp:effectExtent l="0" t="0" r="3175" b="31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7475" cy="1387475"/>
                          </a:xfrm>
                          <a:prstGeom prst="rect">
                            <a:avLst/>
                          </a:prstGeom>
                          <a:noFill/>
                          <a:ln>
                            <a:noFill/>
                          </a:ln>
                        </pic:spPr>
                      </pic:pic>
                    </a:graphicData>
                  </a:graphic>
                </wp:inline>
              </w:drawing>
            </w:r>
          </w:p>
          <w:p w:rsidR="004E776C" w:rsidRPr="007B0005" w:rsidRDefault="007B0005" w:rsidP="007B0005">
            <w:pPr>
              <w:pStyle w:val="PanelBodytext"/>
            </w:pPr>
            <w:r>
              <w:rPr>
                <w:sz w:val="20"/>
              </w:rPr>
              <w:t>Bydd cyfraddau Treth Incwm Cymru yn dechrau ar 6 Ebrill 2019</w:t>
            </w:r>
          </w:p>
        </w:tc>
      </w:tr>
      <w:tr w:rsidR="004E776C" w:rsidRPr="00760710" w:rsidTr="00CF7B02">
        <w:trPr>
          <w:cantSplit/>
          <w:trHeight w:hRule="exact" w:val="1003"/>
        </w:trPr>
        <w:tc>
          <w:tcPr>
            <w:tcW w:w="6521" w:type="dxa"/>
            <w:vMerge/>
            <w:tcBorders>
              <w:left w:val="nil"/>
              <w:bottom w:val="nil"/>
              <w:right w:val="nil"/>
            </w:tcBorders>
            <w:shd w:val="clear" w:color="auto" w:fill="auto"/>
            <w:tcMar>
              <w:left w:w="0" w:type="dxa"/>
              <w:right w:w="0" w:type="dxa"/>
            </w:tcMar>
          </w:tcPr>
          <w:p w:rsidR="004E776C" w:rsidRPr="005D67A6" w:rsidRDefault="004E776C" w:rsidP="00745023">
            <w:pPr>
              <w:pStyle w:val="Helpsheetheading"/>
              <w:spacing w:before="0" w:after="120"/>
              <w:rPr>
                <w:b/>
                <w:sz w:val="40"/>
                <w:szCs w:val="40"/>
              </w:rPr>
            </w:pPr>
          </w:p>
        </w:tc>
        <w:tc>
          <w:tcPr>
            <w:tcW w:w="284" w:type="dxa"/>
            <w:vMerge/>
            <w:tcBorders>
              <w:left w:val="nil"/>
              <w:bottom w:val="nil"/>
              <w:right w:val="single" w:sz="6" w:space="0" w:color="auto"/>
            </w:tcBorders>
            <w:shd w:val="clear" w:color="auto" w:fill="auto"/>
          </w:tcPr>
          <w:p w:rsidR="004E776C" w:rsidRDefault="004E776C" w:rsidP="00745023">
            <w:pPr>
              <w:pStyle w:val="Spacebeforetable"/>
            </w:pPr>
          </w:p>
        </w:tc>
        <w:tc>
          <w:tcPr>
            <w:tcW w:w="3782" w:type="dxa"/>
            <w:tcBorders>
              <w:top w:val="nil"/>
              <w:left w:val="single" w:sz="6" w:space="0" w:color="auto"/>
              <w:bottom w:val="single" w:sz="6" w:space="0" w:color="auto"/>
              <w:right w:val="single" w:sz="6" w:space="0" w:color="auto"/>
            </w:tcBorders>
            <w:shd w:val="clear" w:color="auto" w:fill="auto"/>
            <w:tcMar>
              <w:top w:w="108" w:type="dxa"/>
              <w:bottom w:w="108" w:type="dxa"/>
            </w:tcMar>
            <w:vAlign w:val="bottom"/>
          </w:tcPr>
          <w:p w:rsidR="004E776C" w:rsidRPr="001C292B" w:rsidRDefault="004E776C" w:rsidP="00745023">
            <w:pPr>
              <w:pStyle w:val="QuestiontextIfyes"/>
              <w:spacing w:before="0"/>
            </w:pPr>
            <w:r>
              <w:t>Gwasanaethau Digidol CThEM</w:t>
            </w:r>
          </w:p>
          <w:p w:rsidR="004E776C" w:rsidRDefault="004E776C" w:rsidP="00F85E88">
            <w:pPr>
              <w:pStyle w:val="QuestiontextIfyes"/>
              <w:spacing w:before="0"/>
            </w:pPr>
            <w:r>
              <w:t>Tachwedd 2019 © Hawlfraint y Goron 2019</w:t>
            </w:r>
          </w:p>
        </w:tc>
      </w:tr>
    </w:tbl>
    <w:p w:rsidR="00CA18AF" w:rsidRPr="00CA18AF" w:rsidRDefault="00CA18AF" w:rsidP="00CA18AF">
      <w:pPr>
        <w:pStyle w:val="Spacebeforetable"/>
      </w:pPr>
    </w:p>
    <w:tbl>
      <w:tblPr>
        <w:tblW w:w="10490" w:type="dxa"/>
        <w:tblLayout w:type="fixed"/>
        <w:tblCellMar>
          <w:left w:w="0" w:type="dxa"/>
          <w:right w:w="0" w:type="dxa"/>
        </w:tblCellMar>
        <w:tblLook w:val="04A0" w:firstRow="1" w:lastRow="0" w:firstColumn="1" w:lastColumn="0" w:noHBand="0" w:noVBand="1"/>
      </w:tblPr>
      <w:tblGrid>
        <w:gridCol w:w="8613"/>
        <w:gridCol w:w="1877"/>
      </w:tblGrid>
      <w:tr w:rsidR="00CA18AF" w:rsidRPr="00CA18AF" w:rsidTr="007134C2">
        <w:tc>
          <w:tcPr>
            <w:tcW w:w="10490" w:type="dxa"/>
            <w:gridSpan w:val="2"/>
            <w:shd w:val="clear" w:color="auto" w:fill="auto"/>
          </w:tcPr>
          <w:p w:rsidR="00CA18AF" w:rsidRPr="00CA18AF" w:rsidRDefault="00A52FCC" w:rsidP="00FF4F84">
            <w:pPr>
              <w:keepNext/>
              <w:pBdr>
                <w:top w:val="single" w:sz="18" w:space="1" w:color="auto"/>
              </w:pBdr>
              <w:spacing w:before="300"/>
              <w:ind w:right="57"/>
              <w:rPr>
                <w:rFonts w:eastAsia="Times New Roman"/>
                <w:b/>
                <w:sz w:val="28"/>
                <w:szCs w:val="28"/>
              </w:rPr>
            </w:pPr>
            <w:r>
              <w:rPr>
                <w:b/>
                <w:sz w:val="28"/>
              </w:rPr>
              <w:lastRenderedPageBreak/>
              <w:t>Rhoi gwybod i CThEM am newidiadau i</w:t>
            </w:r>
            <w:r w:rsidR="00FF4F84">
              <w:rPr>
                <w:b/>
                <w:sz w:val="28"/>
              </w:rPr>
              <w:t>’ch c</w:t>
            </w:r>
            <w:r>
              <w:rPr>
                <w:b/>
                <w:sz w:val="28"/>
              </w:rPr>
              <w:t>yfeiriad</w:t>
            </w:r>
          </w:p>
        </w:tc>
      </w:tr>
      <w:tr w:rsidR="00CA18AF" w:rsidRPr="00CA18AF" w:rsidTr="007134C2">
        <w:tc>
          <w:tcPr>
            <w:tcW w:w="10490" w:type="dxa"/>
            <w:gridSpan w:val="2"/>
            <w:shd w:val="clear" w:color="auto" w:fill="auto"/>
          </w:tcPr>
          <w:tbl>
            <w:tblPr>
              <w:tblW w:w="10490" w:type="dxa"/>
              <w:tblLayout w:type="fixed"/>
              <w:tblCellMar>
                <w:left w:w="0" w:type="dxa"/>
                <w:right w:w="0" w:type="dxa"/>
              </w:tblCellMar>
              <w:tblLook w:val="04A0" w:firstRow="1" w:lastRow="0" w:firstColumn="1" w:lastColumn="0" w:noHBand="0" w:noVBand="1"/>
            </w:tblPr>
            <w:tblGrid>
              <w:gridCol w:w="8613"/>
              <w:gridCol w:w="1877"/>
            </w:tblGrid>
            <w:tr w:rsidR="00CA18AF" w:rsidRPr="00CA18AF" w:rsidTr="007134C2">
              <w:tc>
                <w:tcPr>
                  <w:tcW w:w="8613" w:type="dxa"/>
                  <w:shd w:val="clear" w:color="auto" w:fill="auto"/>
                </w:tcPr>
                <w:p w:rsidR="00CA18AF" w:rsidRPr="00CF7B02" w:rsidRDefault="00071B26" w:rsidP="00D30F91">
                  <w:pPr>
                    <w:pStyle w:val="Bodytext"/>
                    <w:rPr>
                      <w:sz w:val="23"/>
                      <w:szCs w:val="23"/>
                    </w:rPr>
                  </w:pPr>
                  <w:r w:rsidRPr="00CF7B02">
                    <w:rPr>
                      <w:sz w:val="23"/>
                      <w:szCs w:val="23"/>
                    </w:rPr>
                    <w:t>Cyfrifoldeb y cyflogai (nid y cyflogwyr) yw rhoi gwybod i CThEM os bydd ei gyfeiriad yn newid. Fodd bynnag, os oes gennych gyflogeion sy’n symud o Gymru i ran arall o’r DU neu i’r gwrthwyneb, dylech eu cynghori i gysylltu â CThEM i newid eu cyfeiriad preswyl a rhoi gwybod am y dyddiad symud. Bydd hyn yn sicrhau bod modd i CThEM bennu statws trethdalwr Cymreig y cyflogai.</w:t>
                  </w:r>
                </w:p>
                <w:p w:rsidR="00D30F91" w:rsidRPr="00CF7B02" w:rsidRDefault="00A52FCC" w:rsidP="00D30F91">
                  <w:pPr>
                    <w:pStyle w:val="Bodytext"/>
                    <w:rPr>
                      <w:sz w:val="23"/>
                      <w:szCs w:val="23"/>
                    </w:rPr>
                  </w:pPr>
                  <w:r w:rsidRPr="00CF7B02">
                    <w:rPr>
                      <w:sz w:val="23"/>
                      <w:szCs w:val="23"/>
                    </w:rPr>
                    <w:t xml:space="preserve">Gall cyflogeion roi gwybod i CThEM yn: </w:t>
                  </w:r>
                  <w:hyperlink r:id="rId12">
                    <w:r w:rsidRPr="00CF7B02">
                      <w:rPr>
                        <w:rStyle w:val="Hyperlink"/>
                        <w:color w:val="auto"/>
                        <w:sz w:val="23"/>
                        <w:szCs w:val="23"/>
                        <w:u w:val="none"/>
                      </w:rPr>
                      <w:t>www.gov.uk/rhoi-gwybod-i-cthem-newid-manylion</w:t>
                    </w:r>
                  </w:hyperlink>
                </w:p>
                <w:p w:rsidR="00EF0964" w:rsidRPr="00CF7B02" w:rsidRDefault="00EF0964" w:rsidP="00D30F91">
                  <w:pPr>
                    <w:pStyle w:val="Bodytext"/>
                    <w:rPr>
                      <w:sz w:val="23"/>
                      <w:szCs w:val="23"/>
                    </w:rPr>
                  </w:pPr>
                  <w:r w:rsidRPr="00CF7B02">
                    <w:rPr>
                      <w:sz w:val="23"/>
                      <w:szCs w:val="23"/>
                    </w:rPr>
                    <w:t xml:space="preserve">Cewch wybod am unrhyw newidiadau i godau treth o dan y prosesau presennol. </w:t>
                  </w:r>
                </w:p>
                <w:p w:rsidR="00EF0964" w:rsidRPr="00CA18AF" w:rsidRDefault="00EF0964" w:rsidP="001E055A">
                  <w:pPr>
                    <w:pStyle w:val="Bodytext"/>
                  </w:pPr>
                  <w:r w:rsidRPr="00CF7B02">
                    <w:rPr>
                      <w:sz w:val="23"/>
                      <w:szCs w:val="23"/>
                    </w:rPr>
                    <w:t>Hyd nes y byddwch yn cael gwybod fel arall, dylech barhau i weithredu’r cod sydd gennych.</w:t>
                  </w:r>
                </w:p>
              </w:tc>
              <w:tc>
                <w:tcPr>
                  <w:tcW w:w="1877" w:type="dxa"/>
                  <w:shd w:val="clear" w:color="auto" w:fill="auto"/>
                </w:tcPr>
                <w:p w:rsidR="00CA18AF" w:rsidRPr="00CA18AF" w:rsidRDefault="00CA18AF" w:rsidP="00CA18AF">
                  <w:pPr>
                    <w:spacing w:before="120"/>
                    <w:rPr>
                      <w:rFonts w:eastAsia="Times New Roman"/>
                      <w:sz w:val="10"/>
                      <w:szCs w:val="10"/>
                    </w:rPr>
                  </w:pPr>
                </w:p>
              </w:tc>
            </w:tr>
          </w:tbl>
          <w:p w:rsidR="00CA18AF" w:rsidRPr="00CA18AF" w:rsidRDefault="00CA18AF" w:rsidP="00CA18AF">
            <w:pPr>
              <w:spacing w:before="120"/>
              <w:rPr>
                <w:rFonts w:eastAsia="Times New Roman"/>
                <w:sz w:val="24"/>
              </w:rPr>
            </w:pPr>
          </w:p>
        </w:tc>
      </w:tr>
      <w:tr w:rsidR="00CA18AF" w:rsidRPr="00CA18AF" w:rsidTr="007134C2">
        <w:tc>
          <w:tcPr>
            <w:tcW w:w="10490" w:type="dxa"/>
            <w:gridSpan w:val="2"/>
            <w:shd w:val="clear" w:color="auto" w:fill="auto"/>
          </w:tcPr>
          <w:p w:rsidR="00CA18AF" w:rsidRPr="00CA18AF" w:rsidRDefault="00EF0964" w:rsidP="00CA18AF">
            <w:pPr>
              <w:keepNext/>
              <w:pBdr>
                <w:top w:val="single" w:sz="18" w:space="1" w:color="auto"/>
              </w:pBdr>
              <w:spacing w:before="300"/>
              <w:ind w:right="57"/>
              <w:rPr>
                <w:rFonts w:eastAsia="Times New Roman"/>
                <w:b/>
                <w:sz w:val="28"/>
                <w:szCs w:val="28"/>
              </w:rPr>
            </w:pPr>
            <w:r>
              <w:rPr>
                <w:b/>
                <w:sz w:val="28"/>
              </w:rPr>
              <w:t>Ble i fynd i gael rhagor o wybodaeth</w:t>
            </w:r>
          </w:p>
        </w:tc>
      </w:tr>
      <w:tr w:rsidR="00CA18AF" w:rsidRPr="00CA18AF" w:rsidTr="007134C2">
        <w:tc>
          <w:tcPr>
            <w:tcW w:w="8613" w:type="dxa"/>
            <w:shd w:val="clear" w:color="auto" w:fill="auto"/>
          </w:tcPr>
          <w:p w:rsidR="00EF0964" w:rsidRPr="00CF7B02" w:rsidRDefault="00EF0964" w:rsidP="00D30F91">
            <w:pPr>
              <w:pStyle w:val="Bodytext"/>
              <w:rPr>
                <w:sz w:val="23"/>
                <w:szCs w:val="23"/>
              </w:rPr>
            </w:pPr>
            <w:r w:rsidRPr="00CF7B02">
              <w:rPr>
                <w:sz w:val="23"/>
                <w:szCs w:val="23"/>
              </w:rPr>
              <w:t>Mae diffiniad llawn o drethdalwr Cymreig ar gael yn Neddf Cymru yn: www.legislation.gov.uk/ukpga/2014/29/part/2/crossheading/welsh-rates-of-income-tax</w:t>
            </w:r>
          </w:p>
          <w:p w:rsidR="00EF0964" w:rsidRPr="00CF7B02" w:rsidRDefault="00EF0964" w:rsidP="00D30F91">
            <w:pPr>
              <w:pStyle w:val="Bodytext"/>
              <w:rPr>
                <w:sz w:val="23"/>
                <w:szCs w:val="23"/>
              </w:rPr>
            </w:pPr>
            <w:r w:rsidRPr="00CF7B02">
              <w:rPr>
                <w:sz w:val="23"/>
                <w:szCs w:val="23"/>
              </w:rPr>
              <w:t>Mae arweiniad mwy manwl ar gael yn:</w:t>
            </w:r>
            <w:r w:rsidRPr="00CF7B02">
              <w:rPr>
                <w:sz w:val="23"/>
                <w:szCs w:val="23"/>
              </w:rPr>
              <w:br/>
              <w:t>www.gov.uk/hmrc-internal-manuals/welsh-taxpayer-technical-guidance</w:t>
            </w:r>
          </w:p>
          <w:p w:rsidR="00EF0964" w:rsidRPr="00CF7B02" w:rsidRDefault="00EF0964" w:rsidP="00D30F91">
            <w:pPr>
              <w:pStyle w:val="Bodytext"/>
              <w:rPr>
                <w:sz w:val="23"/>
                <w:szCs w:val="23"/>
              </w:rPr>
            </w:pPr>
            <w:r w:rsidRPr="00CF7B02">
              <w:rPr>
                <w:sz w:val="23"/>
                <w:szCs w:val="23"/>
              </w:rPr>
              <w:t>Os bydd cyflogai yn anghytuno â’i statws treth ar ôl darllen yr arweiniad hwn, dylai gysylltu â C</w:t>
            </w:r>
            <w:r w:rsidR="00AC409C">
              <w:rPr>
                <w:sz w:val="23"/>
                <w:szCs w:val="23"/>
              </w:rPr>
              <w:t>ThEM</w:t>
            </w:r>
            <w:r w:rsidRPr="00CF7B02">
              <w:rPr>
                <w:sz w:val="23"/>
                <w:szCs w:val="23"/>
              </w:rPr>
              <w:t>.</w:t>
            </w:r>
          </w:p>
          <w:p w:rsidR="00EF0964" w:rsidRPr="00CA18AF" w:rsidRDefault="00FF4F84" w:rsidP="00FF4F84">
            <w:pPr>
              <w:pStyle w:val="Bodytext"/>
            </w:pPr>
            <w:r>
              <w:rPr>
                <w:sz w:val="23"/>
                <w:szCs w:val="23"/>
              </w:rPr>
              <w:t xml:space="preserve">Gallwch </w:t>
            </w:r>
            <w:r w:rsidR="00EF0964" w:rsidRPr="00CF7B02">
              <w:rPr>
                <w:sz w:val="23"/>
                <w:szCs w:val="23"/>
              </w:rPr>
              <w:t>gael rhagor o wybodaeth am y ffordd y caiff cod treth ei gyfrifo</w:t>
            </w:r>
            <w:r>
              <w:rPr>
                <w:sz w:val="23"/>
                <w:szCs w:val="23"/>
              </w:rPr>
              <w:t xml:space="preserve"> yn</w:t>
            </w:r>
            <w:r w:rsidR="00EF0964" w:rsidRPr="00CF7B02">
              <w:rPr>
                <w:sz w:val="23"/>
                <w:szCs w:val="23"/>
              </w:rPr>
              <w:t>: www.gov.uk/tax-codes</w:t>
            </w:r>
          </w:p>
        </w:tc>
        <w:tc>
          <w:tcPr>
            <w:tcW w:w="1877" w:type="dxa"/>
            <w:shd w:val="clear" w:color="auto" w:fill="auto"/>
          </w:tcPr>
          <w:p w:rsidR="00CA18AF" w:rsidRPr="00CA18AF" w:rsidRDefault="00CA18AF" w:rsidP="00CA18AF">
            <w:pPr>
              <w:spacing w:before="120"/>
              <w:rPr>
                <w:rFonts w:eastAsia="Times New Roman"/>
                <w:sz w:val="10"/>
                <w:szCs w:val="10"/>
              </w:rPr>
            </w:pPr>
          </w:p>
        </w:tc>
      </w:tr>
      <w:tr w:rsidR="00CA18AF" w:rsidRPr="00CA18AF" w:rsidTr="007134C2">
        <w:tc>
          <w:tcPr>
            <w:tcW w:w="10490" w:type="dxa"/>
            <w:gridSpan w:val="2"/>
            <w:shd w:val="clear" w:color="auto" w:fill="auto"/>
          </w:tcPr>
          <w:p w:rsidR="00CA18AF" w:rsidRPr="00CA18AF" w:rsidRDefault="00EF0964" w:rsidP="00EF0964">
            <w:pPr>
              <w:keepNext/>
              <w:pBdr>
                <w:top w:val="single" w:sz="18" w:space="1" w:color="auto"/>
              </w:pBdr>
              <w:spacing w:before="300"/>
              <w:ind w:right="57"/>
              <w:rPr>
                <w:rFonts w:eastAsia="Times New Roman"/>
                <w:b/>
                <w:sz w:val="28"/>
                <w:szCs w:val="28"/>
              </w:rPr>
            </w:pPr>
            <w:r>
              <w:rPr>
                <w:b/>
                <w:sz w:val="28"/>
              </w:rPr>
              <w:t>Cysylltu â ni</w:t>
            </w:r>
          </w:p>
        </w:tc>
      </w:tr>
      <w:tr w:rsidR="00CA18AF" w:rsidRPr="00CA18AF" w:rsidTr="007134C2">
        <w:tc>
          <w:tcPr>
            <w:tcW w:w="8613" w:type="dxa"/>
            <w:shd w:val="clear" w:color="auto" w:fill="auto"/>
          </w:tcPr>
          <w:p w:rsidR="00EF0964" w:rsidRPr="00CF7B02" w:rsidRDefault="001F7C17" w:rsidP="00D30F91">
            <w:pPr>
              <w:pStyle w:val="Bodytext"/>
              <w:rPr>
                <w:sz w:val="23"/>
                <w:szCs w:val="23"/>
              </w:rPr>
            </w:pPr>
            <w:r w:rsidRPr="00CF7B02">
              <w:rPr>
                <w:sz w:val="23"/>
                <w:szCs w:val="23"/>
              </w:rPr>
              <w:t>Ffoniwch Wasanaeth Cwsmeriaid Cymraeg CThEM: 0300 200 1900</w:t>
            </w:r>
            <w:r w:rsidR="00AC409C">
              <w:rPr>
                <w:sz w:val="23"/>
                <w:szCs w:val="23"/>
              </w:rPr>
              <w:t>, ar agor</w:t>
            </w:r>
            <w:r w:rsidRPr="00CF7B02">
              <w:rPr>
                <w:sz w:val="23"/>
                <w:szCs w:val="23"/>
              </w:rPr>
              <w:t xml:space="preserve"> </w:t>
            </w:r>
            <w:r w:rsidR="00AC409C" w:rsidRPr="00AC409C">
              <w:rPr>
                <w:sz w:val="23"/>
                <w:szCs w:val="23"/>
              </w:rPr>
              <w:t xml:space="preserve">08.30 </w:t>
            </w:r>
            <w:r w:rsidR="00AC409C">
              <w:rPr>
                <w:sz w:val="23"/>
                <w:szCs w:val="23"/>
              </w:rPr>
              <w:t>i 17.00 o ddydd Llun i ddydd Gwener.</w:t>
            </w:r>
          </w:p>
          <w:p w:rsidR="00CA18AF" w:rsidRPr="00CF7B02" w:rsidRDefault="00EF0964" w:rsidP="00D30F91">
            <w:pPr>
              <w:pStyle w:val="Bodytext"/>
              <w:rPr>
                <w:sz w:val="23"/>
                <w:szCs w:val="23"/>
              </w:rPr>
            </w:pPr>
            <w:r w:rsidRPr="00CF7B02">
              <w:rPr>
                <w:sz w:val="23"/>
                <w:szCs w:val="23"/>
              </w:rPr>
              <w:t>Ar gyfer cwsmeriaid sy</w:t>
            </w:r>
            <w:r w:rsidR="00AC409C">
              <w:rPr>
                <w:sz w:val="23"/>
                <w:szCs w:val="23"/>
              </w:rPr>
              <w:t>’</w:t>
            </w:r>
            <w:r w:rsidRPr="00CF7B02">
              <w:rPr>
                <w:sz w:val="23"/>
                <w:szCs w:val="23"/>
              </w:rPr>
              <w:t xml:space="preserve">n fyddar neu sydd â nam ar eu clyw neu eu lleferydd: </w:t>
            </w:r>
            <w:r w:rsidRPr="00CF7B02">
              <w:rPr>
                <w:sz w:val="23"/>
                <w:szCs w:val="23"/>
              </w:rPr>
              <w:br/>
              <w:t>Ffôn testun: 0300 200 3212</w:t>
            </w:r>
          </w:p>
          <w:p w:rsidR="00D30F91" w:rsidRPr="00CF7B02" w:rsidRDefault="00D30F91" w:rsidP="00D30F91">
            <w:pPr>
              <w:pStyle w:val="Bodytext"/>
              <w:rPr>
                <w:sz w:val="23"/>
                <w:szCs w:val="23"/>
              </w:rPr>
            </w:pPr>
            <w:r w:rsidRPr="00CF7B02">
              <w:rPr>
                <w:sz w:val="23"/>
                <w:szCs w:val="23"/>
              </w:rPr>
              <w:t>Oriau agor:</w:t>
            </w:r>
            <w:r w:rsidRPr="00CF7B02">
              <w:rPr>
                <w:sz w:val="23"/>
                <w:szCs w:val="23"/>
              </w:rPr>
              <w:br/>
              <w:t xml:space="preserve">Dydd Llun i ddydd Gwener: </w:t>
            </w:r>
            <w:r w:rsidR="00AC409C">
              <w:rPr>
                <w:sz w:val="23"/>
                <w:szCs w:val="23"/>
              </w:rPr>
              <w:t xml:space="preserve">08:00 i 20:00 </w:t>
            </w:r>
            <w:r w:rsidR="00AC409C">
              <w:rPr>
                <w:sz w:val="23"/>
                <w:szCs w:val="23"/>
              </w:rPr>
              <w:br/>
              <w:t>Dydd Sadwrn: 0</w:t>
            </w:r>
            <w:r w:rsidRPr="00CF7B02">
              <w:rPr>
                <w:sz w:val="23"/>
                <w:szCs w:val="23"/>
              </w:rPr>
              <w:t>8</w:t>
            </w:r>
            <w:r w:rsidR="00AC409C">
              <w:rPr>
                <w:sz w:val="23"/>
                <w:szCs w:val="23"/>
              </w:rPr>
              <w:t>:00 i 16:00</w:t>
            </w:r>
            <w:r w:rsidRPr="00CF7B02">
              <w:rPr>
                <w:sz w:val="23"/>
                <w:szCs w:val="23"/>
              </w:rPr>
              <w:br/>
              <w:t>Ar gau ar ddydd Sul, Dydd Nadolig, Gŵyl San Steffan a Dydd Calan</w:t>
            </w:r>
          </w:p>
          <w:p w:rsidR="00EF0964" w:rsidRPr="00CF7B02" w:rsidRDefault="001F12EC" w:rsidP="00D30F91">
            <w:pPr>
              <w:pStyle w:val="Bodytext"/>
              <w:rPr>
                <w:sz w:val="23"/>
                <w:szCs w:val="23"/>
              </w:rPr>
            </w:pPr>
            <w:r w:rsidRPr="00CF7B02">
              <w:rPr>
                <w:sz w:val="23"/>
                <w:szCs w:val="23"/>
              </w:rPr>
              <w:t xml:space="preserve">I gael rhagor o wybodaeth am bris galwadau, ewch i www.gov.uk/costau-galwadau </w:t>
            </w:r>
          </w:p>
          <w:p w:rsidR="001F7C17" w:rsidRPr="00CA18AF" w:rsidRDefault="00EF0964" w:rsidP="00AC409C">
            <w:pPr>
              <w:pStyle w:val="Bodytext"/>
            </w:pPr>
            <w:r w:rsidRPr="00CF7B02">
              <w:rPr>
                <w:sz w:val="23"/>
                <w:szCs w:val="23"/>
              </w:rPr>
              <w:t xml:space="preserve">Os ydych yn gyflogai yn chwilio am gyngor ar eich materion treth eich hun, ewch i GOV.UK/cymraeg a chwilio am </w:t>
            </w:r>
            <w:r w:rsidR="00AC409C">
              <w:rPr>
                <w:sz w:val="23"/>
                <w:szCs w:val="23"/>
              </w:rPr>
              <w:t>Dreth Incwm.</w:t>
            </w:r>
          </w:p>
        </w:tc>
        <w:tc>
          <w:tcPr>
            <w:tcW w:w="1877" w:type="dxa"/>
            <w:shd w:val="clear" w:color="auto" w:fill="auto"/>
          </w:tcPr>
          <w:p w:rsidR="00CA18AF" w:rsidRPr="00CA18AF" w:rsidRDefault="00CA18AF" w:rsidP="00CA18AF">
            <w:pPr>
              <w:spacing w:before="120"/>
              <w:rPr>
                <w:rFonts w:eastAsia="Times New Roman"/>
                <w:sz w:val="10"/>
                <w:szCs w:val="10"/>
              </w:rPr>
            </w:pPr>
          </w:p>
        </w:tc>
      </w:tr>
    </w:tbl>
    <w:p w:rsidR="002846EC" w:rsidRDefault="002846EC" w:rsidP="00CA18AF">
      <w:pPr>
        <w:pStyle w:val="Spacebeforetable"/>
      </w:pPr>
    </w:p>
    <w:sectPr w:rsidR="002846EC" w:rsidSect="006A373E">
      <w:headerReference w:type="default" r:id="rId13"/>
      <w:footerReference w:type="even" r:id="rId14"/>
      <w:footerReference w:type="default" r:id="rId15"/>
      <w:headerReference w:type="first" r:id="rId16"/>
      <w:footerReference w:type="first" r:id="rId17"/>
      <w:pgSz w:w="11907" w:h="16840" w:code="9"/>
      <w:pgMar w:top="-276" w:right="624" w:bottom="567" w:left="851" w:header="0" w:footer="227" w:gutter="0"/>
      <w:pgNumType w:start="1"/>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58D" w:rsidRDefault="0020258D" w:rsidP="004E776C">
      <w:r>
        <w:separator/>
      </w:r>
    </w:p>
  </w:endnote>
  <w:endnote w:type="continuationSeparator" w:id="0">
    <w:p w:rsidR="0020258D" w:rsidRDefault="0020258D" w:rsidP="004E7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023" w:rsidRDefault="00745023" w:rsidP="007450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5023" w:rsidRDefault="007450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023" w:rsidRPr="00035E4B" w:rsidRDefault="00745023" w:rsidP="00745023">
    <w:pPr>
      <w:pStyle w:val="Footer"/>
      <w:tabs>
        <w:tab w:val="center" w:pos="5245"/>
      </w:tabs>
      <w:spacing w:before="240"/>
      <w:rPr>
        <w:sz w:val="16"/>
        <w:szCs w:val="16"/>
      </w:rPr>
    </w:pPr>
    <w:r>
      <w:tab/>
    </w:r>
    <w:r>
      <w:rPr>
        <w:rStyle w:val="PageNumber"/>
      </w:rPr>
      <w:fldChar w:fldCharType="begin"/>
    </w:r>
    <w:r>
      <w:rPr>
        <w:rStyle w:val="PageNumber"/>
      </w:rPr>
      <w:instrText xml:space="preserve"> PAGE </w:instrText>
    </w:r>
    <w:r>
      <w:rPr>
        <w:rStyle w:val="PageNumber"/>
      </w:rPr>
      <w:fldChar w:fldCharType="separate"/>
    </w:r>
    <w:r w:rsidR="00BF3363">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0" w:type="dxa"/>
      <w:tblLayout w:type="fixed"/>
      <w:tblCellMar>
        <w:left w:w="0" w:type="dxa"/>
        <w:right w:w="0" w:type="dxa"/>
      </w:tblCellMar>
      <w:tblLook w:val="0000" w:firstRow="0" w:lastRow="0" w:firstColumn="0" w:lastColumn="0" w:noHBand="0" w:noVBand="0"/>
    </w:tblPr>
    <w:tblGrid>
      <w:gridCol w:w="4536"/>
      <w:gridCol w:w="2410"/>
      <w:gridCol w:w="3544"/>
    </w:tblGrid>
    <w:tr w:rsidR="00745023" w:rsidRPr="00DD180E" w:rsidTr="000D3209">
      <w:trPr>
        <w:cantSplit/>
        <w:trHeight w:hRule="exact" w:val="510"/>
      </w:trPr>
      <w:tc>
        <w:tcPr>
          <w:tcW w:w="4536" w:type="dxa"/>
          <w:vAlign w:val="bottom"/>
        </w:tcPr>
        <w:p w:rsidR="00745023" w:rsidRPr="00060730" w:rsidRDefault="00AC409C" w:rsidP="00BA5A73">
          <w:pPr>
            <w:pStyle w:val="Footer"/>
            <w:tabs>
              <w:tab w:val="left" w:pos="0"/>
              <w:tab w:val="right" w:pos="4025"/>
            </w:tabs>
            <w:spacing w:after="40"/>
            <w:rPr>
              <w:sz w:val="16"/>
              <w:szCs w:val="16"/>
            </w:rPr>
          </w:pPr>
          <w:r>
            <w:rPr>
              <w:b/>
              <w:sz w:val="16"/>
            </w:rPr>
            <w:t xml:space="preserve">CTIC Taflen </w:t>
          </w:r>
          <w:r w:rsidR="00BA5A73">
            <w:rPr>
              <w:b/>
              <w:sz w:val="16"/>
            </w:rPr>
            <w:t>Wybodaeth</w:t>
          </w:r>
          <w:r w:rsidR="00CF523F">
            <w:rPr>
              <w:b/>
              <w:sz w:val="16"/>
            </w:rPr>
            <w:t xml:space="preserve"> i Gyflogwyr</w:t>
          </w:r>
        </w:p>
      </w:tc>
      <w:tc>
        <w:tcPr>
          <w:tcW w:w="2410" w:type="dxa"/>
          <w:tcBorders>
            <w:left w:val="nil"/>
          </w:tcBorders>
          <w:vAlign w:val="bottom"/>
        </w:tcPr>
        <w:p w:rsidR="00745023" w:rsidRPr="00060730" w:rsidRDefault="000D3209" w:rsidP="00745023">
          <w:pPr>
            <w:pStyle w:val="Footer"/>
            <w:tabs>
              <w:tab w:val="left" w:pos="0"/>
              <w:tab w:val="center" w:pos="1073"/>
            </w:tabs>
            <w:spacing w:after="40"/>
          </w:pPr>
          <w:r>
            <w:t xml:space="preserve">       </w:t>
          </w:r>
          <w:r w:rsidR="00745023">
            <w:rPr>
              <w:rStyle w:val="PageNumber"/>
            </w:rPr>
            <w:fldChar w:fldCharType="begin"/>
          </w:r>
          <w:r w:rsidR="00745023">
            <w:rPr>
              <w:rStyle w:val="PageNumber"/>
            </w:rPr>
            <w:instrText xml:space="preserve"> PAGE </w:instrText>
          </w:r>
          <w:r w:rsidR="00745023">
            <w:rPr>
              <w:rStyle w:val="PageNumber"/>
            </w:rPr>
            <w:fldChar w:fldCharType="separate"/>
          </w:r>
          <w:r w:rsidR="00BF3363">
            <w:rPr>
              <w:rStyle w:val="PageNumber"/>
              <w:noProof/>
            </w:rPr>
            <w:t>1</w:t>
          </w:r>
          <w:r w:rsidR="00745023">
            <w:rPr>
              <w:rStyle w:val="PageNumber"/>
            </w:rPr>
            <w:fldChar w:fldCharType="end"/>
          </w:r>
        </w:p>
      </w:tc>
      <w:tc>
        <w:tcPr>
          <w:tcW w:w="3544" w:type="dxa"/>
          <w:tcBorders>
            <w:left w:val="nil"/>
          </w:tcBorders>
          <w:vAlign w:val="bottom"/>
        </w:tcPr>
        <w:p w:rsidR="00745023" w:rsidRPr="008E4E26" w:rsidRDefault="00745023" w:rsidP="004D7B99">
          <w:pPr>
            <w:pStyle w:val="Footer"/>
            <w:tabs>
              <w:tab w:val="left" w:pos="0"/>
              <w:tab w:val="center" w:pos="1073"/>
            </w:tabs>
            <w:spacing w:after="40"/>
            <w:jc w:val="right"/>
            <w:rPr>
              <w:sz w:val="16"/>
              <w:szCs w:val="16"/>
            </w:rPr>
          </w:pPr>
          <w:r>
            <w:rPr>
              <w:sz w:val="16"/>
            </w:rPr>
            <w:t>CThEM 01/19</w:t>
          </w:r>
        </w:p>
      </w:tc>
    </w:tr>
  </w:tbl>
  <w:p w:rsidR="00745023" w:rsidRPr="00A83323" w:rsidRDefault="00745023" w:rsidP="00745023">
    <w:pPr>
      <w:pStyle w:val="Footer"/>
      <w:rPr>
        <w:color w:val="FFFFFF"/>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58D" w:rsidRDefault="0020258D" w:rsidP="004E776C">
      <w:r>
        <w:separator/>
      </w:r>
    </w:p>
  </w:footnote>
  <w:footnote w:type="continuationSeparator" w:id="0">
    <w:p w:rsidR="0020258D" w:rsidRDefault="0020258D" w:rsidP="004E77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023" w:rsidRPr="0031353C" w:rsidRDefault="00745023" w:rsidP="00745023">
    <w:pPr>
      <w:spacing w:after="720"/>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023" w:rsidRDefault="00745023" w:rsidP="00745023">
    <w:pPr>
      <w:spacing w:after="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104746"/>
    <w:multiLevelType w:val="multilevel"/>
    <w:tmpl w:val="9C3656D8"/>
    <w:styleLink w:val="BulletlistSEES"/>
    <w:lvl w:ilvl="0">
      <w:start w:val="1"/>
      <w:numFmt w:val="bullet"/>
      <w:pStyle w:val="Bullettext"/>
      <w:lvlText w:val=""/>
      <w:lvlJc w:val="left"/>
      <w:pPr>
        <w:ind w:left="227" w:hanging="227"/>
      </w:pPr>
      <w:rPr>
        <w:rFonts w:ascii="Symbol" w:hAnsi="Symbol" w:hint="default"/>
        <w:sz w:val="20"/>
      </w:rPr>
    </w:lvl>
    <w:lvl w:ilvl="1">
      <w:start w:val="1"/>
      <w:numFmt w:val="bullet"/>
      <w:lvlText w:val=""/>
      <w:lvlJc w:val="left"/>
      <w:pPr>
        <w:tabs>
          <w:tab w:val="num" w:pos="170"/>
        </w:tabs>
        <w:ind w:left="454" w:hanging="227"/>
      </w:pPr>
      <w:rPr>
        <w:rFonts w:ascii="Symbol" w:hAnsi="Symbol" w:hint="default"/>
        <w:sz w:val="22"/>
      </w:rPr>
    </w:lvl>
    <w:lvl w:ilvl="2">
      <w:start w:val="1"/>
      <w:numFmt w:val="bullet"/>
      <w:lvlText w:val=""/>
      <w:lvlJc w:val="left"/>
      <w:pPr>
        <w:tabs>
          <w:tab w:val="num" w:pos="340"/>
        </w:tabs>
        <w:ind w:left="681" w:hanging="227"/>
      </w:pPr>
      <w:rPr>
        <w:rFonts w:ascii="Symbol" w:hAnsi="Symbol" w:hint="default"/>
        <w:sz w:val="22"/>
      </w:rPr>
    </w:lvl>
    <w:lvl w:ilvl="3">
      <w:start w:val="1"/>
      <w:numFmt w:val="bullet"/>
      <w:lvlText w:val=""/>
      <w:lvlJc w:val="left"/>
      <w:pPr>
        <w:tabs>
          <w:tab w:val="num" w:pos="510"/>
        </w:tabs>
        <w:ind w:left="908" w:hanging="227"/>
      </w:pPr>
      <w:rPr>
        <w:rFonts w:ascii="Symbol" w:hAnsi="Symbol" w:hint="default"/>
        <w:sz w:val="22"/>
      </w:rPr>
    </w:lvl>
    <w:lvl w:ilvl="4">
      <w:start w:val="1"/>
      <w:numFmt w:val="bullet"/>
      <w:lvlText w:val=""/>
      <w:lvlJc w:val="left"/>
      <w:pPr>
        <w:tabs>
          <w:tab w:val="num" w:pos="680"/>
        </w:tabs>
        <w:ind w:left="1135" w:hanging="227"/>
      </w:pPr>
      <w:rPr>
        <w:rFonts w:ascii="Symbol" w:hAnsi="Symbol" w:hint="default"/>
        <w:sz w:val="22"/>
      </w:rPr>
    </w:lvl>
    <w:lvl w:ilvl="5">
      <w:start w:val="1"/>
      <w:numFmt w:val="bullet"/>
      <w:lvlText w:val=""/>
      <w:lvlJc w:val="left"/>
      <w:pPr>
        <w:tabs>
          <w:tab w:val="num" w:pos="851"/>
        </w:tabs>
        <w:ind w:left="1362" w:hanging="227"/>
      </w:pPr>
      <w:rPr>
        <w:rFonts w:ascii="Symbol" w:hAnsi="Symbol" w:hint="default"/>
        <w:sz w:val="22"/>
      </w:rPr>
    </w:lvl>
    <w:lvl w:ilvl="6">
      <w:start w:val="1"/>
      <w:numFmt w:val="none"/>
      <w:lvlText w:val="%7"/>
      <w:lvlJc w:val="left"/>
      <w:pPr>
        <w:tabs>
          <w:tab w:val="num" w:pos="0"/>
        </w:tabs>
        <w:ind w:left="1589" w:hanging="227"/>
      </w:pPr>
      <w:rPr>
        <w:rFonts w:hint="default"/>
      </w:rPr>
    </w:lvl>
    <w:lvl w:ilvl="7">
      <w:start w:val="1"/>
      <w:numFmt w:val="none"/>
      <w:lvlText w:val="%8"/>
      <w:lvlJc w:val="left"/>
      <w:pPr>
        <w:tabs>
          <w:tab w:val="num" w:pos="0"/>
        </w:tabs>
        <w:ind w:left="1816" w:hanging="227"/>
      </w:pPr>
      <w:rPr>
        <w:rFonts w:hint="default"/>
      </w:rPr>
    </w:lvl>
    <w:lvl w:ilvl="8">
      <w:start w:val="1"/>
      <w:numFmt w:val="none"/>
      <w:lvlText w:val="%9"/>
      <w:lvlJc w:val="left"/>
      <w:pPr>
        <w:tabs>
          <w:tab w:val="num" w:pos="0"/>
        </w:tabs>
        <w:ind w:left="2043" w:hanging="22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76C"/>
    <w:rsid w:val="0000725C"/>
    <w:rsid w:val="000250CC"/>
    <w:rsid w:val="00051683"/>
    <w:rsid w:val="00071B26"/>
    <w:rsid w:val="00092935"/>
    <w:rsid w:val="000A0448"/>
    <w:rsid w:val="000D3209"/>
    <w:rsid w:val="0015560D"/>
    <w:rsid w:val="00164ABD"/>
    <w:rsid w:val="001D0905"/>
    <w:rsid w:val="001E055A"/>
    <w:rsid w:val="001F12EC"/>
    <w:rsid w:val="001F7C17"/>
    <w:rsid w:val="0020258D"/>
    <w:rsid w:val="00264A26"/>
    <w:rsid w:val="002846EC"/>
    <w:rsid w:val="002E0ACA"/>
    <w:rsid w:val="00326134"/>
    <w:rsid w:val="003335C2"/>
    <w:rsid w:val="00351664"/>
    <w:rsid w:val="00351A1A"/>
    <w:rsid w:val="003A579B"/>
    <w:rsid w:val="003D2E6A"/>
    <w:rsid w:val="00421AD9"/>
    <w:rsid w:val="00450E7F"/>
    <w:rsid w:val="00463453"/>
    <w:rsid w:val="00484FD2"/>
    <w:rsid w:val="004A1090"/>
    <w:rsid w:val="004A30B1"/>
    <w:rsid w:val="004D7B99"/>
    <w:rsid w:val="004E7456"/>
    <w:rsid w:val="004E776C"/>
    <w:rsid w:val="00506766"/>
    <w:rsid w:val="005A21EC"/>
    <w:rsid w:val="005C1091"/>
    <w:rsid w:val="005D7113"/>
    <w:rsid w:val="00664E81"/>
    <w:rsid w:val="006A373E"/>
    <w:rsid w:val="006B5070"/>
    <w:rsid w:val="006F7C64"/>
    <w:rsid w:val="007134C2"/>
    <w:rsid w:val="00745023"/>
    <w:rsid w:val="007B0005"/>
    <w:rsid w:val="007C0A6F"/>
    <w:rsid w:val="00803941"/>
    <w:rsid w:val="00817BF9"/>
    <w:rsid w:val="00820FD5"/>
    <w:rsid w:val="008C2EF6"/>
    <w:rsid w:val="0097211A"/>
    <w:rsid w:val="0099491C"/>
    <w:rsid w:val="00A02629"/>
    <w:rsid w:val="00A52FCC"/>
    <w:rsid w:val="00A85966"/>
    <w:rsid w:val="00A91587"/>
    <w:rsid w:val="00AA7C03"/>
    <w:rsid w:val="00AA7F55"/>
    <w:rsid w:val="00AC0EDD"/>
    <w:rsid w:val="00AC409C"/>
    <w:rsid w:val="00B22111"/>
    <w:rsid w:val="00BA5A73"/>
    <w:rsid w:val="00BF3363"/>
    <w:rsid w:val="00C179E2"/>
    <w:rsid w:val="00C8401E"/>
    <w:rsid w:val="00CA18AF"/>
    <w:rsid w:val="00CF523F"/>
    <w:rsid w:val="00CF7B02"/>
    <w:rsid w:val="00D30F91"/>
    <w:rsid w:val="00DD0AB7"/>
    <w:rsid w:val="00E21FFC"/>
    <w:rsid w:val="00E87CAA"/>
    <w:rsid w:val="00EC381E"/>
    <w:rsid w:val="00EF0964"/>
    <w:rsid w:val="00EF10E2"/>
    <w:rsid w:val="00F0446F"/>
    <w:rsid w:val="00F56A30"/>
    <w:rsid w:val="00F85E88"/>
    <w:rsid w:val="00FD5385"/>
    <w:rsid w:val="00FE068B"/>
    <w:rsid w:val="00FF4F84"/>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70365-A5D5-43E7-A2EB-319BE3B4B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y-GB" w:eastAsia="cy-GB" w:bidi="cy-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0250C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lpsheetheading">
    <w:name w:val="Helpsheet heading"/>
    <w:rsid w:val="00F56A30"/>
    <w:pPr>
      <w:spacing w:before="240" w:after="240"/>
    </w:pPr>
    <w:rPr>
      <w:rFonts w:ascii="Arial" w:eastAsia="Times New Roman" w:hAnsi="Arial"/>
      <w:sz w:val="46"/>
      <w:szCs w:val="46"/>
    </w:rPr>
  </w:style>
  <w:style w:type="paragraph" w:styleId="Footer">
    <w:name w:val="footer"/>
    <w:basedOn w:val="Normal"/>
    <w:link w:val="FooterChar"/>
    <w:rsid w:val="004E776C"/>
    <w:pPr>
      <w:tabs>
        <w:tab w:val="center" w:pos="4513"/>
        <w:tab w:val="right" w:pos="9026"/>
      </w:tabs>
    </w:pPr>
  </w:style>
  <w:style w:type="character" w:customStyle="1" w:styleId="FooterChar">
    <w:name w:val="Footer Char"/>
    <w:link w:val="Footer"/>
    <w:rsid w:val="004E776C"/>
    <w:rPr>
      <w:rFonts w:ascii="Arial" w:eastAsia="Calibri" w:hAnsi="Arial" w:cs="Times New Roman"/>
      <w:sz w:val="20"/>
      <w:szCs w:val="20"/>
    </w:rPr>
  </w:style>
  <w:style w:type="character" w:styleId="Hyperlink">
    <w:name w:val="Hyperlink"/>
    <w:uiPriority w:val="99"/>
    <w:rsid w:val="004E776C"/>
    <w:rPr>
      <w:color w:val="0000FF"/>
      <w:u w:val="single"/>
    </w:rPr>
  </w:style>
  <w:style w:type="character" w:styleId="PageNumber">
    <w:name w:val="page number"/>
    <w:rsid w:val="004E776C"/>
  </w:style>
  <w:style w:type="paragraph" w:customStyle="1" w:styleId="Bodytext">
    <w:name w:val="Bodytext"/>
    <w:link w:val="BodytextChar"/>
    <w:qFormat/>
    <w:rsid w:val="00CA18AF"/>
    <w:pPr>
      <w:spacing w:before="120"/>
    </w:pPr>
    <w:rPr>
      <w:rFonts w:ascii="Arial" w:eastAsia="Times New Roman" w:hAnsi="Arial"/>
      <w:sz w:val="24"/>
    </w:rPr>
  </w:style>
  <w:style w:type="numbering" w:customStyle="1" w:styleId="BulletlistSEES">
    <w:name w:val="Bullet list SEES"/>
    <w:semiHidden/>
    <w:rsid w:val="004E776C"/>
    <w:pPr>
      <w:numPr>
        <w:numId w:val="1"/>
      </w:numPr>
    </w:pPr>
  </w:style>
  <w:style w:type="paragraph" w:customStyle="1" w:styleId="Bullettext">
    <w:name w:val="Bullet text"/>
    <w:basedOn w:val="Bodytext"/>
    <w:qFormat/>
    <w:rsid w:val="00C179E2"/>
    <w:pPr>
      <w:keepLines/>
      <w:numPr>
        <w:numId w:val="1"/>
      </w:numPr>
      <w:spacing w:before="0" w:after="20"/>
    </w:pPr>
  </w:style>
  <w:style w:type="table" w:styleId="TableGrid">
    <w:name w:val="Table Grid"/>
    <w:basedOn w:val="TableNormal"/>
    <w:rsid w:val="004E77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itle1line">
    <w:name w:val="Form title 1 line"/>
    <w:rsid w:val="00B22111"/>
    <w:pPr>
      <w:spacing w:after="100" w:afterAutospacing="1"/>
      <w:jc w:val="right"/>
    </w:pPr>
    <w:rPr>
      <w:rFonts w:ascii="Arial" w:eastAsia="Times New Roman" w:hAnsi="Arial"/>
      <w:b/>
      <w:sz w:val="40"/>
      <w:szCs w:val="32"/>
    </w:rPr>
  </w:style>
  <w:style w:type="paragraph" w:customStyle="1" w:styleId="Panelheading">
    <w:name w:val="Panel heading"/>
    <w:next w:val="Normal"/>
    <w:qFormat/>
    <w:rsid w:val="004E776C"/>
    <w:pPr>
      <w:keepNext/>
      <w:spacing w:before="240"/>
    </w:pPr>
    <w:rPr>
      <w:rFonts w:ascii="Arial" w:eastAsia="Times New Roman" w:hAnsi="Arial"/>
      <w:b/>
      <w:sz w:val="24"/>
      <w:szCs w:val="26"/>
    </w:rPr>
  </w:style>
  <w:style w:type="paragraph" w:customStyle="1" w:styleId="HeadingA">
    <w:name w:val="Heading A"/>
    <w:next w:val="Normal"/>
    <w:link w:val="HeadingAChar"/>
    <w:qFormat/>
    <w:rsid w:val="004E776C"/>
    <w:pPr>
      <w:keepNext/>
      <w:pBdr>
        <w:top w:val="single" w:sz="18" w:space="1" w:color="auto"/>
      </w:pBdr>
      <w:spacing w:before="300"/>
      <w:ind w:right="57"/>
    </w:pPr>
    <w:rPr>
      <w:rFonts w:ascii="Arial" w:eastAsia="Times New Roman" w:hAnsi="Arial"/>
      <w:b/>
      <w:sz w:val="28"/>
      <w:szCs w:val="28"/>
    </w:rPr>
  </w:style>
  <w:style w:type="paragraph" w:customStyle="1" w:styleId="HeadingAnorule">
    <w:name w:val="Heading A (no rule)"/>
    <w:next w:val="Normal"/>
    <w:qFormat/>
    <w:rsid w:val="004E776C"/>
    <w:pPr>
      <w:keepNext/>
      <w:spacing w:before="240"/>
    </w:pPr>
    <w:rPr>
      <w:rFonts w:ascii="Arial" w:eastAsia="Times New Roman" w:hAnsi="Arial"/>
      <w:b/>
      <w:sz w:val="28"/>
      <w:szCs w:val="28"/>
    </w:rPr>
  </w:style>
  <w:style w:type="paragraph" w:customStyle="1" w:styleId="QuestiontextIfyes">
    <w:name w:val="Question text /  If yes"/>
    <w:qFormat/>
    <w:rsid w:val="004E776C"/>
    <w:pPr>
      <w:spacing w:before="120"/>
    </w:pPr>
    <w:rPr>
      <w:rFonts w:ascii="Arial" w:eastAsia="Times New Roman" w:hAnsi="Arial"/>
      <w:sz w:val="18"/>
    </w:rPr>
  </w:style>
  <w:style w:type="paragraph" w:customStyle="1" w:styleId="Spacebeforetable">
    <w:name w:val="Space before table"/>
    <w:qFormat/>
    <w:rsid w:val="004E776C"/>
    <w:rPr>
      <w:rFonts w:ascii="Arial" w:eastAsia="Times New Roman" w:hAnsi="Arial"/>
      <w:sz w:val="10"/>
      <w:szCs w:val="10"/>
    </w:rPr>
  </w:style>
  <w:style w:type="character" w:customStyle="1" w:styleId="BodytextChar">
    <w:name w:val="Bodytext Char"/>
    <w:link w:val="Bodytext"/>
    <w:rsid w:val="00CA18AF"/>
    <w:rPr>
      <w:rFonts w:ascii="Arial" w:eastAsia="Times New Roman" w:hAnsi="Arial"/>
      <w:sz w:val="24"/>
    </w:rPr>
  </w:style>
  <w:style w:type="character" w:customStyle="1" w:styleId="HeadingAChar">
    <w:name w:val="Heading A Char"/>
    <w:link w:val="HeadingA"/>
    <w:rsid w:val="004E776C"/>
    <w:rPr>
      <w:rFonts w:ascii="Arial" w:eastAsia="Times New Roman" w:hAnsi="Arial" w:cs="Times New Roman"/>
      <w:b/>
      <w:sz w:val="28"/>
      <w:szCs w:val="28"/>
      <w:lang w:eastAsia="cy-GB"/>
    </w:rPr>
  </w:style>
  <w:style w:type="paragraph" w:customStyle="1" w:styleId="Formheader">
    <w:name w:val="Form header"/>
    <w:rsid w:val="004E776C"/>
    <w:rPr>
      <w:rFonts w:ascii="Arial" w:eastAsia="Times New Roman" w:hAnsi="Arial"/>
      <w:b/>
      <w:sz w:val="40"/>
      <w:szCs w:val="40"/>
    </w:rPr>
  </w:style>
  <w:style w:type="paragraph" w:styleId="Header">
    <w:name w:val="header"/>
    <w:basedOn w:val="Normal"/>
    <w:link w:val="HeaderChar"/>
    <w:uiPriority w:val="99"/>
    <w:unhideWhenUsed/>
    <w:rsid w:val="004E776C"/>
    <w:pPr>
      <w:tabs>
        <w:tab w:val="center" w:pos="4513"/>
        <w:tab w:val="right" w:pos="9026"/>
      </w:tabs>
    </w:pPr>
  </w:style>
  <w:style w:type="character" w:customStyle="1" w:styleId="HeaderChar">
    <w:name w:val="Header Char"/>
    <w:link w:val="Header"/>
    <w:uiPriority w:val="99"/>
    <w:rsid w:val="004E776C"/>
    <w:rPr>
      <w:rFonts w:ascii="Arial" w:eastAsia="Calibri" w:hAnsi="Arial" w:cs="Times New Roman"/>
      <w:sz w:val="20"/>
      <w:szCs w:val="20"/>
    </w:rPr>
  </w:style>
  <w:style w:type="paragraph" w:customStyle="1" w:styleId="HeadingB">
    <w:name w:val="Heading B"/>
    <w:basedOn w:val="HeadingAnorule"/>
    <w:rsid w:val="00F0446F"/>
    <w:pPr>
      <w:spacing w:before="120"/>
    </w:pPr>
    <w:rPr>
      <w:rFonts w:eastAsia="Calibri"/>
      <w:b w:val="0"/>
    </w:rPr>
  </w:style>
  <w:style w:type="paragraph" w:customStyle="1" w:styleId="PanelBodytext">
    <w:name w:val="Panel Bodytext"/>
    <w:rsid w:val="0099491C"/>
    <w:pPr>
      <w:spacing w:before="120"/>
    </w:pPr>
    <w:rPr>
      <w:rFonts w:ascii="Arial" w:hAnsi="Arial"/>
      <w:sz w:val="22"/>
    </w:rPr>
  </w:style>
  <w:style w:type="character" w:styleId="CommentReference">
    <w:name w:val="annotation reference"/>
    <w:uiPriority w:val="99"/>
    <w:semiHidden/>
    <w:unhideWhenUsed/>
    <w:rsid w:val="005C1091"/>
    <w:rPr>
      <w:sz w:val="16"/>
      <w:szCs w:val="16"/>
    </w:rPr>
  </w:style>
  <w:style w:type="paragraph" w:styleId="CommentText">
    <w:name w:val="annotation text"/>
    <w:basedOn w:val="Normal"/>
    <w:link w:val="CommentTextChar"/>
    <w:uiPriority w:val="99"/>
    <w:semiHidden/>
    <w:unhideWhenUsed/>
    <w:rsid w:val="005C1091"/>
  </w:style>
  <w:style w:type="character" w:customStyle="1" w:styleId="CommentTextChar">
    <w:name w:val="Comment Text Char"/>
    <w:link w:val="CommentText"/>
    <w:uiPriority w:val="99"/>
    <w:semiHidden/>
    <w:rsid w:val="005C1091"/>
    <w:rPr>
      <w:rFonts w:ascii="Arial" w:hAnsi="Arial"/>
      <w:lang w:eastAsia="cy-GB"/>
    </w:rPr>
  </w:style>
  <w:style w:type="paragraph" w:styleId="CommentSubject">
    <w:name w:val="annotation subject"/>
    <w:basedOn w:val="CommentText"/>
    <w:next w:val="CommentText"/>
    <w:link w:val="CommentSubjectChar"/>
    <w:uiPriority w:val="99"/>
    <w:semiHidden/>
    <w:unhideWhenUsed/>
    <w:rsid w:val="005C1091"/>
    <w:rPr>
      <w:b/>
      <w:bCs/>
    </w:rPr>
  </w:style>
  <w:style w:type="character" w:customStyle="1" w:styleId="CommentSubjectChar">
    <w:name w:val="Comment Subject Char"/>
    <w:link w:val="CommentSubject"/>
    <w:uiPriority w:val="99"/>
    <w:semiHidden/>
    <w:rsid w:val="005C1091"/>
    <w:rPr>
      <w:rFonts w:ascii="Arial" w:hAnsi="Arial"/>
      <w:b/>
      <w:bCs/>
      <w:lang w:eastAsia="cy-GB"/>
    </w:rPr>
  </w:style>
  <w:style w:type="paragraph" w:styleId="BalloonText">
    <w:name w:val="Balloon Text"/>
    <w:basedOn w:val="Normal"/>
    <w:link w:val="BalloonTextChar"/>
    <w:uiPriority w:val="99"/>
    <w:semiHidden/>
    <w:unhideWhenUsed/>
    <w:rsid w:val="005C1091"/>
    <w:rPr>
      <w:rFonts w:ascii="Segoe UI" w:hAnsi="Segoe UI" w:cs="Segoe UI"/>
      <w:sz w:val="18"/>
      <w:szCs w:val="18"/>
    </w:rPr>
  </w:style>
  <w:style w:type="character" w:customStyle="1" w:styleId="BalloonTextChar">
    <w:name w:val="Balloon Text Char"/>
    <w:link w:val="BalloonText"/>
    <w:uiPriority w:val="99"/>
    <w:semiHidden/>
    <w:rsid w:val="005C1091"/>
    <w:rPr>
      <w:rFonts w:ascii="Segoe UI" w:hAnsi="Segoe UI" w:cs="Segoe UI"/>
      <w:sz w:val="18"/>
      <w:szCs w:val="18"/>
      <w:lang w:eastAsia="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68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rhoi-gwybod-i-cthem-newid-manylion"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ov.uk/treth-incwm-cym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v.uk/treth-incwm-cym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1F10C-14C8-4697-9C71-6E6813CAA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4345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5097</CharactersWithSpaces>
  <SharedDoc>false</SharedDoc>
  <HLinks>
    <vt:vector size="18" baseType="variant">
      <vt:variant>
        <vt:i4>1507350</vt:i4>
      </vt:variant>
      <vt:variant>
        <vt:i4>6</vt:i4>
      </vt:variant>
      <vt:variant>
        <vt:i4>0</vt:i4>
      </vt:variant>
      <vt:variant>
        <vt:i4>5</vt:i4>
      </vt:variant>
      <vt:variant>
        <vt:lpwstr>http://www.gov.uk/tell-hmrc-change-of-details</vt:lpwstr>
      </vt:variant>
      <vt:variant>
        <vt:lpwstr/>
      </vt:variant>
      <vt:variant>
        <vt:i4>2424864</vt:i4>
      </vt:variant>
      <vt:variant>
        <vt:i4>3</vt:i4>
      </vt:variant>
      <vt:variant>
        <vt:i4>0</vt:i4>
      </vt:variant>
      <vt:variant>
        <vt:i4>5</vt:i4>
      </vt:variant>
      <vt:variant>
        <vt:lpwstr>http://www.gov.wales/welshtaxes</vt:lpwstr>
      </vt:variant>
      <vt:variant>
        <vt:lpwstr/>
      </vt:variant>
      <vt:variant>
        <vt:i4>3342370</vt:i4>
      </vt:variant>
      <vt:variant>
        <vt:i4>0</vt:i4>
      </vt:variant>
      <vt:variant>
        <vt:i4>0</vt:i4>
      </vt:variant>
      <vt:variant>
        <vt:i4>5</vt:i4>
      </vt:variant>
      <vt:variant>
        <vt:lpwstr>http://www.gov.uk/welsh-income-tax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Harley, Brian (CDIO)</dc:creator>
  <cp:keywords/>
  <dc:description/>
  <cp:lastModifiedBy>Hadley, Jill (PDC Transformation)</cp:lastModifiedBy>
  <cp:revision>2</cp:revision>
  <dcterms:created xsi:type="dcterms:W3CDTF">2019-02-28T09:03:00Z</dcterms:created>
  <dcterms:modified xsi:type="dcterms:W3CDTF">2019-02-28T09:03:00Z</dcterms:modified>
</cp:coreProperties>
</file>