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DA" w:rsidRDefault="00C25F44">
      <w:bookmarkStart w:id="0" w:name="_GoBack"/>
      <w:bookmarkEnd w:id="0"/>
      <w:r>
        <w:rPr>
          <w:noProof/>
        </w:rPr>
        <w:drawing>
          <wp:inline distT="0" distB="0" distL="0" distR="0">
            <wp:extent cx="904875" cy="666750"/>
            <wp:effectExtent l="0" t="0" r="0" b="0"/>
            <wp:docPr id="1" name="Picture 1" descr="HMRC%20logo%20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20logo%20thumbn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666750"/>
                    </a:xfrm>
                    <a:prstGeom prst="rect">
                      <a:avLst/>
                    </a:prstGeom>
                    <a:noFill/>
                    <a:ln>
                      <a:noFill/>
                    </a:ln>
                  </pic:spPr>
                </pic:pic>
              </a:graphicData>
            </a:graphic>
          </wp:inline>
        </w:drawing>
      </w:r>
    </w:p>
    <w:p w:rsidR="00474BDA" w:rsidRDefault="00474BDA"/>
    <w:p w:rsidR="00474BDA" w:rsidRDefault="00474BDA"/>
    <w:p w:rsidR="00474BDA" w:rsidRPr="00474BDA" w:rsidRDefault="00474BDA" w:rsidP="00474BDA">
      <w:pPr>
        <w:jc w:val="center"/>
        <w:outlineLvl w:val="0"/>
        <w:rPr>
          <w:rFonts w:ascii="Arial Bold" w:hAnsi="Arial Bold" w:cs="Arial"/>
          <w:b/>
        </w:rPr>
      </w:pPr>
      <w:r w:rsidRPr="00474BDA">
        <w:rPr>
          <w:rFonts w:ascii="Arial Bold" w:hAnsi="Arial Bold"/>
          <w:b/>
        </w:rPr>
        <w:t>Briefing Note</w:t>
      </w:r>
      <w:r w:rsidR="00A57BD7">
        <w:rPr>
          <w:rFonts w:ascii="Arial Bold" w:hAnsi="Arial Bold"/>
          <w:b/>
        </w:rPr>
        <w:t xml:space="preserve"> </w:t>
      </w:r>
      <w:r w:rsidR="00384E53">
        <w:rPr>
          <w:rFonts w:ascii="Arial Bold" w:hAnsi="Arial Bold"/>
          <w:b/>
        </w:rPr>
        <w:t>- September</w:t>
      </w:r>
      <w:r w:rsidR="00A16AD9">
        <w:rPr>
          <w:rFonts w:ascii="Arial Bold" w:hAnsi="Arial Bold"/>
          <w:b/>
        </w:rPr>
        <w:t xml:space="preserve"> </w:t>
      </w:r>
      <w:r w:rsidR="00A16D60">
        <w:rPr>
          <w:rFonts w:ascii="Arial Bold" w:hAnsi="Arial Bold"/>
          <w:b/>
        </w:rPr>
        <w:t>2014</w:t>
      </w:r>
    </w:p>
    <w:p w:rsidR="00474BDA" w:rsidRDefault="00474BDA" w:rsidP="00474BDA">
      <w:pPr>
        <w:jc w:val="center"/>
        <w:outlineLvl w:val="0"/>
        <w:rPr>
          <w:rFonts w:ascii="Arial" w:hAnsi="Arial" w:cs="Arial"/>
          <w:b/>
        </w:rPr>
      </w:pPr>
    </w:p>
    <w:p w:rsidR="00474BDA" w:rsidRDefault="00D57E67" w:rsidP="00474BDA">
      <w:pPr>
        <w:jc w:val="center"/>
        <w:outlineLvl w:val="0"/>
        <w:rPr>
          <w:rFonts w:ascii="Arial" w:hAnsi="Arial" w:cs="Arial"/>
          <w:b/>
        </w:rPr>
      </w:pPr>
      <w:r>
        <w:rPr>
          <w:rFonts w:ascii="Arial" w:hAnsi="Arial" w:cs="Arial"/>
          <w:b/>
        </w:rPr>
        <w:t xml:space="preserve">Agent Online </w:t>
      </w:r>
      <w:proofErr w:type="spellStart"/>
      <w:r>
        <w:rPr>
          <w:rFonts w:ascii="Arial" w:hAnsi="Arial" w:cs="Arial"/>
          <w:b/>
        </w:rPr>
        <w:t>Self Serve</w:t>
      </w:r>
      <w:proofErr w:type="spellEnd"/>
      <w:r>
        <w:rPr>
          <w:rFonts w:ascii="Arial" w:hAnsi="Arial" w:cs="Arial"/>
          <w:b/>
        </w:rPr>
        <w:t xml:space="preserve"> </w:t>
      </w:r>
      <w:r w:rsidR="00F5129A">
        <w:rPr>
          <w:rFonts w:ascii="Arial" w:hAnsi="Arial" w:cs="Arial"/>
          <w:b/>
        </w:rPr>
        <w:t xml:space="preserve">and </w:t>
      </w:r>
      <w:r w:rsidR="00C552DB">
        <w:rPr>
          <w:rFonts w:ascii="Arial" w:hAnsi="Arial" w:cs="Arial"/>
          <w:b/>
        </w:rPr>
        <w:t>the Agents Strategy</w:t>
      </w:r>
      <w:r w:rsidR="00474BDA">
        <w:rPr>
          <w:rFonts w:ascii="Arial" w:hAnsi="Arial" w:cs="Arial"/>
          <w:b/>
        </w:rPr>
        <w:t xml:space="preserve"> </w:t>
      </w:r>
    </w:p>
    <w:p w:rsidR="00474BDA" w:rsidRDefault="00474BDA"/>
    <w:p w:rsidR="00A57BD7" w:rsidRDefault="00A57BD7" w:rsidP="00A57BD7">
      <w:pPr>
        <w:outlineLvl w:val="0"/>
        <w:rPr>
          <w:rFonts w:ascii="Arial" w:hAnsi="Arial"/>
          <w:b/>
          <w:bCs/>
          <w:sz w:val="22"/>
        </w:rPr>
      </w:pPr>
    </w:p>
    <w:p w:rsidR="00384E53" w:rsidRPr="00384E53" w:rsidRDefault="00384E53" w:rsidP="00384E53">
      <w:pPr>
        <w:rPr>
          <w:rFonts w:ascii="Arial Bold" w:hAnsi="Arial Bold"/>
          <w:b/>
        </w:rPr>
      </w:pPr>
      <w:r w:rsidRPr="00384E53">
        <w:rPr>
          <w:rFonts w:ascii="Arial Bold" w:hAnsi="Arial Bold"/>
          <w:b/>
        </w:rPr>
        <w:t xml:space="preserve">Throughout the summer the Agent Online </w:t>
      </w:r>
      <w:proofErr w:type="spellStart"/>
      <w:r w:rsidRPr="00384E53">
        <w:rPr>
          <w:rFonts w:ascii="Arial Bold" w:hAnsi="Arial Bold"/>
          <w:b/>
        </w:rPr>
        <w:t>Self Serve</w:t>
      </w:r>
      <w:proofErr w:type="spellEnd"/>
      <w:r w:rsidRPr="00384E53">
        <w:rPr>
          <w:rFonts w:ascii="Arial Bold" w:hAnsi="Arial Bold"/>
          <w:b/>
        </w:rPr>
        <w:t xml:space="preserve"> (AOSS) project team has been conducting </w:t>
      </w:r>
      <w:r w:rsidR="005B6448">
        <w:rPr>
          <w:rFonts w:ascii="Arial Bold" w:hAnsi="Arial Bold"/>
          <w:b/>
        </w:rPr>
        <w:t xml:space="preserve">interviews (doing </w:t>
      </w:r>
      <w:r w:rsidRPr="00384E53">
        <w:rPr>
          <w:rFonts w:ascii="Arial Bold" w:hAnsi="Arial Bold"/>
          <w:b/>
        </w:rPr>
        <w:t>user research</w:t>
      </w:r>
      <w:r w:rsidR="005B6448">
        <w:rPr>
          <w:rFonts w:ascii="Arial Bold" w:hAnsi="Arial Bold"/>
          <w:b/>
        </w:rPr>
        <w:t>) with agents</w:t>
      </w:r>
      <w:r w:rsidRPr="00384E53">
        <w:rPr>
          <w:rFonts w:ascii="Arial Bold" w:hAnsi="Arial Bold"/>
          <w:b/>
        </w:rPr>
        <w:t xml:space="preserve"> to inform the initial design and development of an alpha prototype.  Here’s an update on th</w:t>
      </w:r>
      <w:r w:rsidR="00906AEF">
        <w:rPr>
          <w:rFonts w:ascii="Arial Bold" w:hAnsi="Arial Bold"/>
          <w:b/>
        </w:rPr>
        <w:t>is</w:t>
      </w:r>
      <w:r w:rsidRPr="00384E53">
        <w:rPr>
          <w:rFonts w:ascii="Arial Bold" w:hAnsi="Arial Bold"/>
          <w:b/>
        </w:rPr>
        <w:t xml:space="preserve"> work</w:t>
      </w:r>
      <w:r w:rsidR="00906AEF">
        <w:rPr>
          <w:rFonts w:ascii="Arial Bold" w:hAnsi="Arial Bold"/>
          <w:b/>
        </w:rPr>
        <w:t xml:space="preserve"> and our progress with the developing Agents Strategy.</w:t>
      </w:r>
    </w:p>
    <w:p w:rsidR="00384E53" w:rsidRDefault="00384E53" w:rsidP="00384E53"/>
    <w:p w:rsidR="00906AEF" w:rsidRPr="00906AEF" w:rsidRDefault="00906AEF" w:rsidP="00384E53">
      <w:pPr>
        <w:rPr>
          <w:rFonts w:ascii="Arial" w:hAnsi="Arial" w:cs="Arial"/>
          <w:b/>
          <w:u w:val="single"/>
        </w:rPr>
      </w:pPr>
      <w:r w:rsidRPr="00906AEF">
        <w:rPr>
          <w:rFonts w:ascii="Arial" w:hAnsi="Arial" w:cs="Arial"/>
          <w:b/>
          <w:u w:val="single"/>
        </w:rPr>
        <w:t xml:space="preserve">Agent Online </w:t>
      </w:r>
      <w:proofErr w:type="spellStart"/>
      <w:r w:rsidRPr="00906AEF">
        <w:rPr>
          <w:rFonts w:ascii="Arial" w:hAnsi="Arial" w:cs="Arial"/>
          <w:b/>
          <w:u w:val="single"/>
        </w:rPr>
        <w:t>Self Serve</w:t>
      </w:r>
      <w:proofErr w:type="spellEnd"/>
    </w:p>
    <w:p w:rsidR="00906AEF" w:rsidRDefault="00906AEF" w:rsidP="00384E53">
      <w:pPr>
        <w:rPr>
          <w:rFonts w:ascii="Arial" w:hAnsi="Arial"/>
          <w:b/>
        </w:rPr>
      </w:pPr>
    </w:p>
    <w:p w:rsidR="00384E53" w:rsidRPr="00384E53" w:rsidRDefault="00384E53" w:rsidP="00384E53">
      <w:pPr>
        <w:rPr>
          <w:rFonts w:ascii="Arial" w:hAnsi="Arial"/>
          <w:b/>
        </w:rPr>
      </w:pPr>
      <w:r w:rsidRPr="00384E53">
        <w:rPr>
          <w:rFonts w:ascii="Arial" w:hAnsi="Arial"/>
          <w:b/>
        </w:rPr>
        <w:t>Availability of the new AOSS Service</w:t>
      </w:r>
    </w:p>
    <w:p w:rsidR="00384E53" w:rsidRPr="00384E53" w:rsidRDefault="00384E53" w:rsidP="00384E53">
      <w:pPr>
        <w:rPr>
          <w:rFonts w:ascii="Arial" w:hAnsi="Arial"/>
        </w:rPr>
      </w:pPr>
      <w:r w:rsidRPr="00384E53">
        <w:rPr>
          <w:rFonts w:ascii="Arial" w:hAnsi="Arial"/>
        </w:rPr>
        <w:t>We want to enable agents to use the new service as quickly as possible whilst we continue to test and improve its functionality. Our current thinking is that we will:</w:t>
      </w:r>
    </w:p>
    <w:p w:rsidR="00384E53" w:rsidRPr="00384E53" w:rsidRDefault="00384E53" w:rsidP="00384E53">
      <w:pPr>
        <w:rPr>
          <w:rFonts w:ascii="Arial" w:hAnsi="Arial"/>
        </w:rPr>
      </w:pPr>
    </w:p>
    <w:p w:rsidR="00384E53" w:rsidRPr="00384E53" w:rsidRDefault="00384E53" w:rsidP="00384E53">
      <w:pPr>
        <w:pStyle w:val="ListParagraph"/>
        <w:numPr>
          <w:ilvl w:val="0"/>
          <w:numId w:val="14"/>
        </w:numPr>
        <w:rPr>
          <w:rFonts w:ascii="Arial" w:hAnsi="Arial"/>
        </w:rPr>
      </w:pPr>
      <w:r w:rsidRPr="00384E53">
        <w:rPr>
          <w:rFonts w:ascii="Arial" w:hAnsi="Arial"/>
        </w:rPr>
        <w:t>Design AOSS so that agents will be able to access the new services using their Government Gateway credentials; and</w:t>
      </w:r>
    </w:p>
    <w:p w:rsidR="00384E53" w:rsidRPr="00384E53" w:rsidRDefault="00384E53" w:rsidP="00384E53">
      <w:pPr>
        <w:pStyle w:val="ListParagraph"/>
        <w:numPr>
          <w:ilvl w:val="0"/>
          <w:numId w:val="14"/>
        </w:numPr>
        <w:rPr>
          <w:rFonts w:ascii="Arial" w:hAnsi="Arial"/>
        </w:rPr>
      </w:pPr>
      <w:r w:rsidRPr="00384E53">
        <w:rPr>
          <w:rFonts w:ascii="Arial" w:hAnsi="Arial"/>
        </w:rPr>
        <w:t xml:space="preserve">Provide a first service for testing with a small number of agent volunteers (known as a private beta release) that will </w:t>
      </w:r>
      <w:r w:rsidR="005B6448">
        <w:rPr>
          <w:rFonts w:ascii="Arial" w:hAnsi="Arial"/>
        </w:rPr>
        <w:t>enable</w:t>
      </w:r>
      <w:r w:rsidRPr="00384E53">
        <w:rPr>
          <w:rFonts w:ascii="Arial" w:hAnsi="Arial"/>
        </w:rPr>
        <w:t xml:space="preserve"> agents to view liabilities and payments</w:t>
      </w:r>
      <w:r w:rsidR="00C5406A">
        <w:rPr>
          <w:rFonts w:ascii="Arial" w:hAnsi="Arial"/>
        </w:rPr>
        <w:t xml:space="preserve"> information</w:t>
      </w:r>
      <w:r w:rsidRPr="00384E53">
        <w:rPr>
          <w:rFonts w:ascii="Arial" w:hAnsi="Arial"/>
        </w:rPr>
        <w:t xml:space="preserve"> for their employer PAYE clients</w:t>
      </w:r>
      <w:r w:rsidR="00C5406A">
        <w:rPr>
          <w:rFonts w:ascii="Arial" w:hAnsi="Arial"/>
        </w:rPr>
        <w:t xml:space="preserve">. </w:t>
      </w:r>
    </w:p>
    <w:p w:rsidR="00384E53" w:rsidRPr="00384E53" w:rsidRDefault="00384E53" w:rsidP="00384E53">
      <w:pPr>
        <w:rPr>
          <w:rFonts w:ascii="Arial" w:hAnsi="Arial"/>
        </w:rPr>
      </w:pPr>
    </w:p>
    <w:p w:rsidR="00384E53" w:rsidRPr="00384E53" w:rsidRDefault="00384E53" w:rsidP="00384E53">
      <w:pPr>
        <w:rPr>
          <w:rFonts w:ascii="Arial" w:hAnsi="Arial"/>
        </w:rPr>
      </w:pPr>
      <w:r w:rsidRPr="00384E53">
        <w:rPr>
          <w:rFonts w:ascii="Arial" w:hAnsi="Arial"/>
        </w:rPr>
        <w:t>We are developing our new digital services using ‘</w:t>
      </w:r>
      <w:r w:rsidR="00C5406A">
        <w:rPr>
          <w:rFonts w:ascii="Arial" w:hAnsi="Arial"/>
        </w:rPr>
        <w:t>A</w:t>
      </w:r>
      <w:r w:rsidRPr="00384E53">
        <w:rPr>
          <w:rFonts w:ascii="Arial" w:hAnsi="Arial"/>
        </w:rPr>
        <w:t>gile’ methodology – the cross-government method of IT development that builds iteratively and puts user needs at its core - and these changes to our original plans have been made as a result of what agents have told us during user research and us</w:t>
      </w:r>
      <w:r w:rsidR="00C5406A">
        <w:rPr>
          <w:rFonts w:ascii="Arial" w:hAnsi="Arial"/>
        </w:rPr>
        <w:t>ability</w:t>
      </w:r>
      <w:r w:rsidRPr="00384E53">
        <w:rPr>
          <w:rFonts w:ascii="Arial" w:hAnsi="Arial"/>
        </w:rPr>
        <w:t xml:space="preserve"> testing. </w:t>
      </w:r>
    </w:p>
    <w:p w:rsidR="00384E53" w:rsidRPr="00384E53" w:rsidRDefault="00384E53" w:rsidP="00384E53">
      <w:pPr>
        <w:rPr>
          <w:rFonts w:ascii="Arial" w:hAnsi="Arial"/>
          <w:b/>
        </w:rPr>
      </w:pPr>
    </w:p>
    <w:p w:rsidR="00384E53" w:rsidRPr="00384E53" w:rsidRDefault="00384E53" w:rsidP="00384E53">
      <w:pPr>
        <w:rPr>
          <w:rFonts w:ascii="Arial" w:hAnsi="Arial"/>
          <w:b/>
        </w:rPr>
      </w:pPr>
      <w:r w:rsidRPr="00384E53">
        <w:rPr>
          <w:rFonts w:ascii="Arial" w:hAnsi="Arial"/>
          <w:b/>
        </w:rPr>
        <w:t>Listening to Feedback</w:t>
      </w:r>
    </w:p>
    <w:p w:rsidR="00384E53" w:rsidRPr="00384E53" w:rsidRDefault="00384E53" w:rsidP="00384E53">
      <w:pPr>
        <w:rPr>
          <w:rFonts w:ascii="Arial" w:hAnsi="Arial"/>
        </w:rPr>
      </w:pPr>
      <w:r w:rsidRPr="00384E53">
        <w:rPr>
          <w:rFonts w:ascii="Arial" w:hAnsi="Arial"/>
        </w:rPr>
        <w:t>Users (businesses and agents) told us that using identity assurance with authority management (for organisations and agents) to verify the identity of their firm was a convoluted process with too many steps, which wouldn’t work if we wanted to get agents up and running on the new service as quickly as possible.</w:t>
      </w:r>
    </w:p>
    <w:p w:rsidR="00384E53" w:rsidRPr="00384E53" w:rsidRDefault="00384E53" w:rsidP="00384E53">
      <w:pPr>
        <w:rPr>
          <w:rFonts w:ascii="Arial" w:hAnsi="Arial"/>
        </w:rPr>
      </w:pPr>
    </w:p>
    <w:p w:rsidR="00384E53" w:rsidRPr="00384E53" w:rsidRDefault="00384E53" w:rsidP="00384E53">
      <w:pPr>
        <w:rPr>
          <w:rFonts w:ascii="Arial" w:hAnsi="Arial"/>
        </w:rPr>
      </w:pPr>
      <w:r w:rsidRPr="00384E53">
        <w:rPr>
          <w:rFonts w:ascii="Arial" w:hAnsi="Arial"/>
        </w:rPr>
        <w:t>A number of agents also told us during testing that the ability to view liabilities and payments for their employer PAYE clients was really important to them, particularly since the introduction of Real Time Information (RTI) reporting.</w:t>
      </w:r>
    </w:p>
    <w:p w:rsidR="00384E53" w:rsidRDefault="00384E53" w:rsidP="00384E53">
      <w:pPr>
        <w:rPr>
          <w:rFonts w:ascii="Arial" w:hAnsi="Arial"/>
        </w:rPr>
      </w:pPr>
    </w:p>
    <w:p w:rsidR="00906AEF" w:rsidRDefault="00906AEF" w:rsidP="00384E53">
      <w:pPr>
        <w:rPr>
          <w:rFonts w:ascii="Arial" w:hAnsi="Arial"/>
        </w:rPr>
      </w:pPr>
    </w:p>
    <w:p w:rsidR="00906AEF" w:rsidRPr="00384E53" w:rsidRDefault="00906AEF" w:rsidP="00384E53">
      <w:pPr>
        <w:rPr>
          <w:rFonts w:ascii="Arial" w:hAnsi="Arial"/>
        </w:rPr>
      </w:pPr>
    </w:p>
    <w:p w:rsidR="00384E53" w:rsidRPr="00384E53" w:rsidRDefault="00384E53" w:rsidP="00384E53">
      <w:pPr>
        <w:rPr>
          <w:rFonts w:ascii="Arial" w:hAnsi="Arial"/>
          <w:b/>
        </w:rPr>
      </w:pPr>
      <w:r w:rsidRPr="00384E53">
        <w:rPr>
          <w:rFonts w:ascii="Arial" w:hAnsi="Arial"/>
          <w:b/>
        </w:rPr>
        <w:lastRenderedPageBreak/>
        <w:t>Timescales</w:t>
      </w:r>
    </w:p>
    <w:p w:rsidR="00384E53" w:rsidRPr="00384E53" w:rsidRDefault="00384E53" w:rsidP="00384E53">
      <w:pPr>
        <w:rPr>
          <w:rFonts w:ascii="Arial" w:hAnsi="Arial"/>
        </w:rPr>
      </w:pPr>
      <w:r w:rsidRPr="00384E53">
        <w:rPr>
          <w:rFonts w:ascii="Arial" w:hAnsi="Arial"/>
        </w:rPr>
        <w:t xml:space="preserve">The exploratory ‘alpha’ phase for AOSS is expected to continue until mid/end October and we are still aiming to deliver the initial ‘private beta’ service referred to above by the end of the year. </w:t>
      </w:r>
    </w:p>
    <w:p w:rsidR="00384E53" w:rsidRPr="00384E53" w:rsidRDefault="00384E53" w:rsidP="00384E53">
      <w:pPr>
        <w:rPr>
          <w:rFonts w:ascii="Arial" w:hAnsi="Arial"/>
        </w:rPr>
      </w:pPr>
    </w:p>
    <w:p w:rsidR="00384E53" w:rsidRPr="00384E53" w:rsidRDefault="00384E53" w:rsidP="00384E53">
      <w:pPr>
        <w:rPr>
          <w:rFonts w:ascii="Arial" w:hAnsi="Arial"/>
        </w:rPr>
      </w:pPr>
      <w:r w:rsidRPr="00384E53">
        <w:rPr>
          <w:rFonts w:ascii="Arial" w:hAnsi="Arial"/>
        </w:rPr>
        <w:t>We then expect to gradually ramp up the service and introduce it to more users (through what’s known as a public beta release) during 2015.</w:t>
      </w:r>
    </w:p>
    <w:p w:rsidR="00384E53" w:rsidRPr="00384E53" w:rsidRDefault="00384E53" w:rsidP="00384E53">
      <w:pPr>
        <w:rPr>
          <w:rFonts w:ascii="Arial" w:hAnsi="Arial"/>
        </w:rPr>
      </w:pPr>
    </w:p>
    <w:p w:rsidR="00384E53" w:rsidRPr="00384E53" w:rsidRDefault="00384E53" w:rsidP="00384E53">
      <w:pPr>
        <w:rPr>
          <w:rFonts w:ascii="Arial" w:hAnsi="Arial"/>
        </w:rPr>
      </w:pPr>
      <w:r w:rsidRPr="00384E53">
        <w:rPr>
          <w:rFonts w:ascii="Arial" w:hAnsi="Arial"/>
        </w:rPr>
        <w:t>For the public beta release our aim is to provide:</w:t>
      </w:r>
    </w:p>
    <w:p w:rsidR="00384E53" w:rsidRPr="00384E53" w:rsidRDefault="00384E53" w:rsidP="00384E53">
      <w:pPr>
        <w:rPr>
          <w:rFonts w:ascii="Arial" w:hAnsi="Arial"/>
        </w:rPr>
      </w:pPr>
    </w:p>
    <w:p w:rsidR="00384E53" w:rsidRPr="00384E53" w:rsidRDefault="00384E53" w:rsidP="00384E53">
      <w:pPr>
        <w:pStyle w:val="ListParagraph"/>
        <w:numPr>
          <w:ilvl w:val="0"/>
          <w:numId w:val="15"/>
        </w:numPr>
        <w:rPr>
          <w:rFonts w:ascii="Arial" w:hAnsi="Arial"/>
        </w:rPr>
      </w:pPr>
      <w:r w:rsidRPr="00384E53">
        <w:rPr>
          <w:rFonts w:ascii="Arial" w:hAnsi="Arial"/>
        </w:rPr>
        <w:t>a new digital agents’ registration service;</w:t>
      </w:r>
    </w:p>
    <w:p w:rsidR="00384E53" w:rsidRPr="00384E53" w:rsidRDefault="00384E53" w:rsidP="00384E53">
      <w:pPr>
        <w:pStyle w:val="ListParagraph"/>
        <w:numPr>
          <w:ilvl w:val="0"/>
          <w:numId w:val="15"/>
        </w:numPr>
        <w:rPr>
          <w:rFonts w:ascii="Arial" w:hAnsi="Arial"/>
        </w:rPr>
      </w:pPr>
      <w:r w:rsidRPr="00384E53">
        <w:rPr>
          <w:rFonts w:ascii="Arial" w:hAnsi="Arial"/>
        </w:rPr>
        <w:t>a new end to end digital authorisation process to make it easier for agents to let us know when they take on a new client; and</w:t>
      </w:r>
    </w:p>
    <w:p w:rsidR="00384E53" w:rsidRPr="00384E53" w:rsidRDefault="00384E53" w:rsidP="00384E53">
      <w:pPr>
        <w:pStyle w:val="ListParagraph"/>
        <w:numPr>
          <w:ilvl w:val="0"/>
          <w:numId w:val="15"/>
        </w:numPr>
        <w:rPr>
          <w:rFonts w:ascii="Arial" w:hAnsi="Arial"/>
        </w:rPr>
      </w:pPr>
      <w:r w:rsidRPr="00384E53">
        <w:rPr>
          <w:rFonts w:ascii="Arial" w:hAnsi="Arial"/>
        </w:rPr>
        <w:t>a personalised agents’ “homepage</w:t>
      </w:r>
      <w:r w:rsidR="004C3C98">
        <w:rPr>
          <w:rFonts w:ascii="Arial" w:hAnsi="Arial"/>
        </w:rPr>
        <w:t xml:space="preserve">” </w:t>
      </w:r>
      <w:r w:rsidRPr="00384E53">
        <w:rPr>
          <w:rFonts w:ascii="Arial" w:hAnsi="Arial"/>
        </w:rPr>
        <w:t>that will enable agents to view and manage their clients’ tax affairs in one place</w:t>
      </w:r>
    </w:p>
    <w:p w:rsidR="00384E53" w:rsidRPr="00384E53" w:rsidRDefault="00384E53" w:rsidP="00384E53">
      <w:pPr>
        <w:rPr>
          <w:rFonts w:ascii="Arial" w:hAnsi="Arial"/>
        </w:rPr>
      </w:pPr>
    </w:p>
    <w:p w:rsidR="00384E53" w:rsidRPr="00384E53" w:rsidRDefault="00384E53" w:rsidP="00384E53">
      <w:pPr>
        <w:rPr>
          <w:rFonts w:ascii="Arial" w:hAnsi="Arial"/>
          <w:b/>
        </w:rPr>
      </w:pPr>
      <w:r w:rsidRPr="00384E53">
        <w:rPr>
          <w:rFonts w:ascii="Arial" w:hAnsi="Arial"/>
          <w:b/>
        </w:rPr>
        <w:t>Cleansing and Validating Client Lists</w:t>
      </w:r>
    </w:p>
    <w:p w:rsidR="00384E53" w:rsidRDefault="00384E53" w:rsidP="00384E53">
      <w:pPr>
        <w:rPr>
          <w:rFonts w:ascii="Arial" w:hAnsi="Arial"/>
        </w:rPr>
      </w:pPr>
      <w:r w:rsidRPr="00384E53">
        <w:rPr>
          <w:rFonts w:ascii="Arial" w:hAnsi="Arial"/>
        </w:rPr>
        <w:t xml:space="preserve">It’s really important that the new service contains accurate and up to date information about agents and their clients.  As part of the transition to the new service HMRC will therefore be asking agents to check and cleanse their client lists. </w:t>
      </w:r>
    </w:p>
    <w:p w:rsidR="003660B8" w:rsidRPr="00384E53" w:rsidRDefault="003660B8" w:rsidP="00384E53">
      <w:pPr>
        <w:rPr>
          <w:rFonts w:ascii="Arial" w:hAnsi="Arial"/>
        </w:rPr>
      </w:pPr>
    </w:p>
    <w:p w:rsidR="00384E53" w:rsidRDefault="00384E53" w:rsidP="00384E53">
      <w:pPr>
        <w:rPr>
          <w:rFonts w:ascii="Arial" w:hAnsi="Arial"/>
        </w:rPr>
      </w:pPr>
      <w:r w:rsidRPr="00384E53">
        <w:rPr>
          <w:rFonts w:ascii="Arial" w:hAnsi="Arial"/>
        </w:rPr>
        <w:t>We’ll work with agents’ representative bodies to find the best way to do this and we’re committed to making the transition as seamless as possible and to minimising any disruption to agents’ business.</w:t>
      </w:r>
    </w:p>
    <w:p w:rsidR="003660B8" w:rsidRPr="00384E53" w:rsidRDefault="003660B8" w:rsidP="00384E53">
      <w:pPr>
        <w:rPr>
          <w:rFonts w:ascii="Arial" w:hAnsi="Arial"/>
        </w:rPr>
      </w:pPr>
    </w:p>
    <w:p w:rsidR="00384E53" w:rsidRPr="00384E53" w:rsidRDefault="00384E53" w:rsidP="00384E53">
      <w:pPr>
        <w:rPr>
          <w:rFonts w:ascii="Arial" w:hAnsi="Arial"/>
        </w:rPr>
      </w:pPr>
      <w:r w:rsidRPr="00384E53">
        <w:rPr>
          <w:rFonts w:ascii="Arial" w:hAnsi="Arial"/>
        </w:rPr>
        <w:t>It’s envisaged that, at full roll-out, all agents will have access to AOSS provided they have completed their data cleanse.</w:t>
      </w:r>
    </w:p>
    <w:p w:rsidR="00384E53" w:rsidRPr="00384E53" w:rsidRDefault="00384E53" w:rsidP="00384E53">
      <w:pPr>
        <w:rPr>
          <w:rFonts w:ascii="Arial" w:hAnsi="Arial"/>
        </w:rPr>
      </w:pPr>
    </w:p>
    <w:p w:rsidR="00384E53" w:rsidRPr="00384E53" w:rsidRDefault="00384E53" w:rsidP="00384E53">
      <w:pPr>
        <w:rPr>
          <w:rFonts w:ascii="Arial" w:hAnsi="Arial"/>
          <w:b/>
        </w:rPr>
      </w:pPr>
      <w:r w:rsidRPr="00384E53">
        <w:rPr>
          <w:rFonts w:ascii="Arial" w:hAnsi="Arial"/>
          <w:b/>
        </w:rPr>
        <w:t>Third Party Software</w:t>
      </w:r>
    </w:p>
    <w:p w:rsidR="005B6448" w:rsidRDefault="00384E53" w:rsidP="00384E53">
      <w:pPr>
        <w:rPr>
          <w:rFonts w:ascii="Arial" w:hAnsi="Arial"/>
        </w:rPr>
      </w:pPr>
      <w:r w:rsidRPr="00384E53">
        <w:rPr>
          <w:rFonts w:ascii="Arial" w:hAnsi="Arial"/>
        </w:rPr>
        <w:t>We know that many agents use third party software so we will be working with software providers</w:t>
      </w:r>
      <w:r w:rsidR="005B6448">
        <w:rPr>
          <w:rFonts w:ascii="Arial" w:hAnsi="Arial"/>
        </w:rPr>
        <w:t xml:space="preserve"> on the production of Application Programme Interfaces (API’s)</w:t>
      </w:r>
      <w:r w:rsidRPr="00384E53">
        <w:rPr>
          <w:rFonts w:ascii="Arial" w:hAnsi="Arial"/>
        </w:rPr>
        <w:t xml:space="preserve"> to ensure that their products are compatible with (and can support) the new agents’ service.</w:t>
      </w:r>
      <w:r w:rsidR="005B6448">
        <w:rPr>
          <w:rFonts w:ascii="Arial" w:hAnsi="Arial"/>
        </w:rPr>
        <w:t xml:space="preserve"> We’ll provide these to agents who use their own in-house products too.</w:t>
      </w:r>
    </w:p>
    <w:p w:rsidR="003660B8" w:rsidRDefault="003660B8" w:rsidP="00384E53">
      <w:pPr>
        <w:rPr>
          <w:rFonts w:ascii="Arial" w:hAnsi="Arial"/>
        </w:rPr>
      </w:pPr>
    </w:p>
    <w:p w:rsidR="00384E53" w:rsidRPr="00384E53" w:rsidRDefault="00384E53" w:rsidP="00384E53">
      <w:pPr>
        <w:rPr>
          <w:rFonts w:ascii="Arial" w:hAnsi="Arial"/>
        </w:rPr>
      </w:pPr>
      <w:r w:rsidRPr="00384E53">
        <w:rPr>
          <w:rFonts w:ascii="Arial" w:hAnsi="Arial"/>
        </w:rPr>
        <w:t>Agents using Third Party Software will not be included in the initial (private beta) testing.</w:t>
      </w:r>
    </w:p>
    <w:p w:rsidR="00384E53" w:rsidRPr="00384E53" w:rsidRDefault="00384E53" w:rsidP="00384E53">
      <w:pPr>
        <w:rPr>
          <w:rFonts w:ascii="Arial" w:hAnsi="Arial"/>
        </w:rPr>
      </w:pPr>
    </w:p>
    <w:p w:rsidR="00384E53" w:rsidRPr="00384E53" w:rsidRDefault="00384E53" w:rsidP="00384E53">
      <w:pPr>
        <w:rPr>
          <w:rFonts w:ascii="Arial" w:hAnsi="Arial"/>
          <w:b/>
          <w:u w:val="single"/>
        </w:rPr>
      </w:pPr>
    </w:p>
    <w:p w:rsidR="00906AEF" w:rsidRPr="00593FD6" w:rsidRDefault="00906AEF" w:rsidP="00906AEF">
      <w:pPr>
        <w:rPr>
          <w:rFonts w:ascii="Arial" w:hAnsi="Arial"/>
          <w:b/>
          <w:u w:val="single"/>
        </w:rPr>
      </w:pPr>
      <w:r w:rsidRPr="00593FD6">
        <w:rPr>
          <w:rFonts w:ascii="Arial" w:hAnsi="Arial"/>
          <w:b/>
          <w:u w:val="single"/>
        </w:rPr>
        <w:t>Agents Strategy</w:t>
      </w:r>
    </w:p>
    <w:p w:rsidR="00906AEF" w:rsidRDefault="00906AEF" w:rsidP="00906AEF">
      <w:pPr>
        <w:outlineLvl w:val="0"/>
        <w:rPr>
          <w:rFonts w:ascii="Arial" w:hAnsi="Arial" w:cs="Arial"/>
        </w:rPr>
      </w:pPr>
      <w:r>
        <w:rPr>
          <w:rFonts w:ascii="Arial" w:hAnsi="Arial" w:cs="Arial"/>
          <w:bCs/>
        </w:rPr>
        <w:t xml:space="preserve">We are thinking </w:t>
      </w:r>
      <w:r w:rsidRPr="00FC6BDE">
        <w:rPr>
          <w:rFonts w:ascii="Arial" w:hAnsi="Arial" w:cs="Arial"/>
          <w:bCs/>
        </w:rPr>
        <w:t>about the way we will work with agents in future.</w:t>
      </w:r>
      <w:r w:rsidRPr="00FC6BDE">
        <w:rPr>
          <w:rFonts w:ascii="Arial" w:hAnsi="Arial" w:cs="Arial"/>
          <w:bCs/>
          <w:color w:val="FF0000"/>
        </w:rPr>
        <w:t xml:space="preserve"> </w:t>
      </w:r>
      <w:r>
        <w:rPr>
          <w:rFonts w:ascii="Arial" w:hAnsi="Arial" w:cs="Arial"/>
        </w:rPr>
        <w:t xml:space="preserve">We want to make the </w:t>
      </w:r>
      <w:r w:rsidRPr="00FC6BDE">
        <w:rPr>
          <w:rFonts w:ascii="Arial" w:hAnsi="Arial" w:cs="Arial"/>
        </w:rPr>
        <w:t xml:space="preserve">advancements in digital services </w:t>
      </w:r>
      <w:r>
        <w:rPr>
          <w:rFonts w:ascii="Arial" w:hAnsi="Arial" w:cs="Arial"/>
        </w:rPr>
        <w:t>work for our customers, and we know they can help us to improve</w:t>
      </w:r>
      <w:r w:rsidRPr="00FC6BDE">
        <w:rPr>
          <w:rFonts w:ascii="Arial" w:hAnsi="Arial" w:cs="Arial"/>
        </w:rPr>
        <w:t xml:space="preserve"> speed of response and the desire to get certainty as soon as possible once a tax return has been filed. </w:t>
      </w:r>
    </w:p>
    <w:p w:rsidR="00906AEF" w:rsidRDefault="00906AEF" w:rsidP="00906AEF">
      <w:pPr>
        <w:spacing w:before="100" w:beforeAutospacing="1" w:after="100" w:afterAutospacing="1"/>
        <w:rPr>
          <w:rFonts w:ascii="Arial" w:hAnsi="Arial" w:cs="Arial"/>
          <w:bCs/>
        </w:rPr>
      </w:pPr>
      <w:r w:rsidRPr="003D6088">
        <w:rPr>
          <w:rFonts w:ascii="Arial" w:hAnsi="Arial" w:cs="Arial"/>
          <w:bCs/>
        </w:rPr>
        <w:t>Changes in the commercial market, evolving business expectations and the growth of software and virtual products for agents provide an opportunity for considering how we should work together in a new digital environment</w:t>
      </w:r>
      <w:r>
        <w:rPr>
          <w:rFonts w:ascii="Arial" w:hAnsi="Arial" w:cs="Arial"/>
          <w:bCs/>
        </w:rPr>
        <w:t>.</w:t>
      </w:r>
    </w:p>
    <w:p w:rsidR="00906AEF" w:rsidRPr="000C5AE8" w:rsidRDefault="00906AEF" w:rsidP="00906AEF">
      <w:pPr>
        <w:outlineLvl w:val="0"/>
        <w:rPr>
          <w:rFonts w:ascii="Arial" w:hAnsi="Arial" w:cs="Arial"/>
        </w:rPr>
      </w:pPr>
      <w:r w:rsidRPr="000C5AE8">
        <w:rPr>
          <w:rFonts w:ascii="Arial" w:hAnsi="Arial" w:cs="Arial"/>
        </w:rPr>
        <w:lastRenderedPageBreak/>
        <w:t>Our approach is that all digital services will be designed with agents as end users and we will work with them to continue to promote voluntary compliance.</w:t>
      </w:r>
    </w:p>
    <w:p w:rsidR="00906AEF" w:rsidRDefault="00906AEF" w:rsidP="00906AEF">
      <w:pPr>
        <w:outlineLvl w:val="0"/>
        <w:rPr>
          <w:rFonts w:ascii="Arial" w:hAnsi="Arial" w:cs="Arial"/>
          <w:b/>
          <w:color w:val="000000"/>
          <w:u w:val="single"/>
          <w:lang w:eastAsia="en-US"/>
        </w:rPr>
      </w:pPr>
    </w:p>
    <w:p w:rsidR="00906AEF" w:rsidRPr="00FC6BDE" w:rsidRDefault="00906AEF" w:rsidP="00906AEF">
      <w:pPr>
        <w:outlineLvl w:val="0"/>
        <w:rPr>
          <w:rFonts w:ascii="Arial" w:hAnsi="Arial" w:cs="Arial"/>
          <w:bCs/>
          <w:color w:val="FF0000"/>
        </w:rPr>
      </w:pPr>
      <w:r w:rsidRPr="00FC6BDE">
        <w:rPr>
          <w:rFonts w:ascii="Arial" w:hAnsi="Arial" w:cs="Arial"/>
          <w:color w:val="000000"/>
          <w:lang w:eastAsia="en-US"/>
        </w:rPr>
        <w:t>We are developing options to:</w:t>
      </w:r>
    </w:p>
    <w:p w:rsidR="00906AEF" w:rsidRPr="003D6088" w:rsidRDefault="003660B8" w:rsidP="00906AEF">
      <w:pPr>
        <w:numPr>
          <w:ilvl w:val="0"/>
          <w:numId w:val="16"/>
        </w:numPr>
        <w:spacing w:before="100" w:beforeAutospacing="1" w:after="100" w:afterAutospacing="1"/>
        <w:rPr>
          <w:rFonts w:ascii="Arial" w:hAnsi="Arial" w:cs="Arial"/>
          <w:lang w:eastAsia="en-US"/>
        </w:rPr>
      </w:pPr>
      <w:r w:rsidRPr="003D6088">
        <w:rPr>
          <w:rFonts w:ascii="Arial" w:hAnsi="Arial" w:cs="Arial"/>
        </w:rPr>
        <w:t>Work</w:t>
      </w:r>
      <w:r w:rsidR="00906AEF" w:rsidRPr="003D6088">
        <w:rPr>
          <w:rFonts w:ascii="Arial" w:hAnsi="Arial" w:cs="Arial"/>
        </w:rPr>
        <w:t xml:space="preserve"> with agents to improve accuracy of returns before they are filed. At full roll-out, all agents will have access to AOSS (provided that they have completed their data cleanse) where they can view transactions, payments and liabilities etc. Those who meet high</w:t>
      </w:r>
      <w:r w:rsidR="00906AEF">
        <w:rPr>
          <w:rFonts w:ascii="Arial" w:hAnsi="Arial" w:cs="Arial"/>
        </w:rPr>
        <w:t>er</w:t>
      </w:r>
      <w:r w:rsidR="00906AEF" w:rsidRPr="003D6088">
        <w:rPr>
          <w:rFonts w:ascii="Arial" w:hAnsi="Arial" w:cs="Arial"/>
        </w:rPr>
        <w:t>-quality standards can be given access to</w:t>
      </w:r>
      <w:r w:rsidR="00906AEF">
        <w:rPr>
          <w:rFonts w:ascii="Arial" w:hAnsi="Arial" w:cs="Arial"/>
        </w:rPr>
        <w:t xml:space="preserve"> enhanced services</w:t>
      </w:r>
      <w:r w:rsidR="00906AEF" w:rsidRPr="003D6088">
        <w:rPr>
          <w:rFonts w:ascii="Arial" w:hAnsi="Arial" w:cs="Arial"/>
        </w:rPr>
        <w:t xml:space="preserve">. </w:t>
      </w:r>
    </w:p>
    <w:p w:rsidR="00906AEF" w:rsidRPr="00FC6BDE" w:rsidRDefault="00906AEF" w:rsidP="00906AEF">
      <w:pPr>
        <w:numPr>
          <w:ilvl w:val="0"/>
          <w:numId w:val="16"/>
        </w:numPr>
        <w:spacing w:before="100" w:beforeAutospacing="1" w:after="100" w:afterAutospacing="1"/>
        <w:rPr>
          <w:rFonts w:ascii="Arial" w:hAnsi="Arial" w:cs="Arial"/>
          <w:color w:val="FF0000"/>
          <w:lang w:eastAsia="en-US"/>
        </w:rPr>
      </w:pPr>
      <w:r>
        <w:rPr>
          <w:rFonts w:ascii="Arial" w:hAnsi="Arial" w:cs="Arial"/>
          <w:lang w:eastAsia="en-US"/>
        </w:rPr>
        <w:t xml:space="preserve">Test </w:t>
      </w:r>
      <w:r w:rsidRPr="00FC6BDE">
        <w:rPr>
          <w:rFonts w:ascii="Arial" w:hAnsi="Arial" w:cs="Arial"/>
          <w:lang w:eastAsia="en-US"/>
        </w:rPr>
        <w:t xml:space="preserve">compliance activity with agents. This includes </w:t>
      </w:r>
      <w:r>
        <w:rPr>
          <w:rFonts w:ascii="Arial" w:hAnsi="Arial" w:cs="Arial"/>
          <w:lang w:eastAsia="en-US"/>
        </w:rPr>
        <w:t>testing</w:t>
      </w:r>
      <w:r>
        <w:rPr>
          <w:rFonts w:ascii="Arial" w:hAnsi="Arial" w:cs="Arial"/>
        </w:rPr>
        <w:t xml:space="preserve"> risk triggers in</w:t>
      </w:r>
      <w:r w:rsidRPr="00FC6BDE">
        <w:rPr>
          <w:rFonts w:ascii="Arial" w:hAnsi="Arial" w:cs="Arial"/>
        </w:rPr>
        <w:t xml:space="preserve"> third party software</w:t>
      </w:r>
      <w:r>
        <w:rPr>
          <w:rFonts w:ascii="Arial" w:hAnsi="Arial" w:cs="Arial"/>
        </w:rPr>
        <w:t>. This will help us to</w:t>
      </w:r>
      <w:r w:rsidRPr="00FC6BDE">
        <w:rPr>
          <w:rFonts w:ascii="Arial" w:hAnsi="Arial" w:cs="Arial"/>
          <w:color w:val="000000"/>
        </w:rPr>
        <w:t xml:space="preserve"> understand whether sharing triggers produces positive behaviour change and supports agents and taxpayers to get their returns right first time. We are also piloting transparent benchmarking to understand whether communicating benchmarks to a sector and informing them how similar businesses are performing, can help them get their return right.</w:t>
      </w:r>
    </w:p>
    <w:sectPr w:rsidR="00906AEF" w:rsidRPr="00FC6B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0000005"/>
    <w:multiLevelType w:val="singleLevel"/>
    <w:tmpl w:val="00000005"/>
    <w:name w:val="WW8Num10"/>
    <w:lvl w:ilvl="0">
      <w:start w:val="1"/>
      <w:numFmt w:val="bullet"/>
      <w:lvlText w:val=""/>
      <w:lvlJc w:val="left"/>
      <w:pPr>
        <w:tabs>
          <w:tab w:val="num" w:pos="720"/>
        </w:tabs>
        <w:ind w:left="720" w:hanging="360"/>
      </w:pPr>
      <w:rPr>
        <w:rFonts w:ascii="Symbol" w:hAnsi="Symbol" w:cs="Symbol"/>
      </w:rPr>
    </w:lvl>
  </w:abstractNum>
  <w:abstractNum w:abstractNumId="2">
    <w:nsid w:val="00000006"/>
    <w:multiLevelType w:val="singleLevel"/>
    <w:tmpl w:val="00000006"/>
    <w:name w:val="WW8Num16"/>
    <w:lvl w:ilvl="0">
      <w:start w:val="1"/>
      <w:numFmt w:val="bullet"/>
      <w:lvlText w:val=""/>
      <w:lvlJc w:val="left"/>
      <w:pPr>
        <w:tabs>
          <w:tab w:val="num" w:pos="720"/>
        </w:tabs>
        <w:ind w:left="720" w:hanging="360"/>
      </w:pPr>
      <w:rPr>
        <w:rFonts w:ascii="Symbol" w:hAnsi="Symbol" w:cs="Symbol"/>
        <w:color w:val="auto"/>
        <w:sz w:val="24"/>
      </w:rPr>
    </w:lvl>
  </w:abstractNum>
  <w:abstractNum w:abstractNumId="3">
    <w:nsid w:val="08F41D73"/>
    <w:multiLevelType w:val="hybridMultilevel"/>
    <w:tmpl w:val="F244A25A"/>
    <w:lvl w:ilvl="0" w:tplc="B3425DE8">
      <w:start w:val="1"/>
      <w:numFmt w:val="bullet"/>
      <w:lvlText w:val=""/>
      <w:lvlJc w:val="left"/>
      <w:pPr>
        <w:tabs>
          <w:tab w:val="num" w:pos="3109"/>
        </w:tabs>
        <w:ind w:left="3109" w:hanging="2389"/>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0DF8170A"/>
    <w:multiLevelType w:val="hybridMultilevel"/>
    <w:tmpl w:val="404AA4B6"/>
    <w:lvl w:ilvl="0" w:tplc="81340C3C">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1E75300D"/>
    <w:multiLevelType w:val="hybridMultilevel"/>
    <w:tmpl w:val="1914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64053"/>
    <w:multiLevelType w:val="hybridMultilevel"/>
    <w:tmpl w:val="720CD7BA"/>
    <w:lvl w:ilvl="0" w:tplc="81340C3C">
      <w:start w:val="1"/>
      <w:numFmt w:val="bullet"/>
      <w:lvlText w:val="•"/>
      <w:lvlJc w:val="left"/>
      <w:pPr>
        <w:tabs>
          <w:tab w:val="num" w:pos="1440"/>
        </w:tabs>
        <w:ind w:left="1440" w:hanging="360"/>
      </w:pPr>
      <w:rPr>
        <w:rFonts w:ascii="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23A360C8"/>
    <w:multiLevelType w:val="hybridMultilevel"/>
    <w:tmpl w:val="47A4ECA8"/>
    <w:lvl w:ilvl="0" w:tplc="755816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B454BC"/>
    <w:multiLevelType w:val="hybridMultilevel"/>
    <w:tmpl w:val="FB24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B0A86"/>
    <w:multiLevelType w:val="hybridMultilevel"/>
    <w:tmpl w:val="31362E00"/>
    <w:lvl w:ilvl="0" w:tplc="81340C3C">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15F20B8"/>
    <w:multiLevelType w:val="hybridMultilevel"/>
    <w:tmpl w:val="D010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945DF5"/>
    <w:multiLevelType w:val="hybridMultilevel"/>
    <w:tmpl w:val="B0183E9E"/>
    <w:lvl w:ilvl="0" w:tplc="81340C3C">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31C6E1E"/>
    <w:multiLevelType w:val="hybridMultilevel"/>
    <w:tmpl w:val="AD1C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6160D4"/>
    <w:multiLevelType w:val="hybridMultilevel"/>
    <w:tmpl w:val="CF826648"/>
    <w:lvl w:ilvl="0" w:tplc="81340C3C">
      <w:start w:val="1"/>
      <w:numFmt w:val="bullet"/>
      <w:lvlText w:val="•"/>
      <w:lvlJc w:val="left"/>
      <w:pPr>
        <w:tabs>
          <w:tab w:val="num" w:pos="780"/>
        </w:tabs>
        <w:ind w:left="780" w:hanging="360"/>
      </w:pPr>
      <w:rPr>
        <w:rFonts w:ascii="Times New Roman" w:hAnsi="Times New Roman" w:cs="Times New Roman"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nsid w:val="6CE6783C"/>
    <w:multiLevelType w:val="hybridMultilevel"/>
    <w:tmpl w:val="8CB8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E044E7"/>
    <w:multiLevelType w:val="hybridMultilevel"/>
    <w:tmpl w:val="60E6EBF4"/>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8"/>
  </w:num>
  <w:num w:numId="4">
    <w:abstractNumId w:val="3"/>
  </w:num>
  <w:num w:numId="5">
    <w:abstractNumId w:val="2"/>
  </w:num>
  <w:num w:numId="6">
    <w:abstractNumId w:val="1"/>
  </w:num>
  <w:num w:numId="7">
    <w:abstractNumId w:val="15"/>
  </w:num>
  <w:num w:numId="8">
    <w:abstractNumId w:val="0"/>
  </w:num>
  <w:num w:numId="9">
    <w:abstractNumId w:val="11"/>
  </w:num>
  <w:num w:numId="10">
    <w:abstractNumId w:val="9"/>
  </w:num>
  <w:num w:numId="11">
    <w:abstractNumId w:val="6"/>
  </w:num>
  <w:num w:numId="12">
    <w:abstractNumId w:val="4"/>
  </w:num>
  <w:num w:numId="13">
    <w:abstractNumId w:val="13"/>
  </w:num>
  <w:num w:numId="14">
    <w:abstractNumId w:val="5"/>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DA"/>
    <w:rsid w:val="00015618"/>
    <w:rsid w:val="000632EB"/>
    <w:rsid w:val="00070E69"/>
    <w:rsid w:val="0013766C"/>
    <w:rsid w:val="0016715E"/>
    <w:rsid w:val="00170653"/>
    <w:rsid w:val="001A7E39"/>
    <w:rsid w:val="001C24CF"/>
    <w:rsid w:val="001F6FFB"/>
    <w:rsid w:val="00212212"/>
    <w:rsid w:val="00264A60"/>
    <w:rsid w:val="00280F5C"/>
    <w:rsid w:val="0029024B"/>
    <w:rsid w:val="00297328"/>
    <w:rsid w:val="002A032D"/>
    <w:rsid w:val="002A2A47"/>
    <w:rsid w:val="002A3BE0"/>
    <w:rsid w:val="002D20DA"/>
    <w:rsid w:val="002D5637"/>
    <w:rsid w:val="003660B8"/>
    <w:rsid w:val="00367CF6"/>
    <w:rsid w:val="00375AB9"/>
    <w:rsid w:val="00380BCD"/>
    <w:rsid w:val="00384E53"/>
    <w:rsid w:val="00404AC7"/>
    <w:rsid w:val="00404B49"/>
    <w:rsid w:val="00414222"/>
    <w:rsid w:val="004526EB"/>
    <w:rsid w:val="00474BDA"/>
    <w:rsid w:val="004A40B3"/>
    <w:rsid w:val="004A6D6E"/>
    <w:rsid w:val="004B682B"/>
    <w:rsid w:val="004C3C98"/>
    <w:rsid w:val="0051117B"/>
    <w:rsid w:val="00593FD6"/>
    <w:rsid w:val="005B6448"/>
    <w:rsid w:val="005C0904"/>
    <w:rsid w:val="005C3DD2"/>
    <w:rsid w:val="005D7FAB"/>
    <w:rsid w:val="00601827"/>
    <w:rsid w:val="006138A2"/>
    <w:rsid w:val="00617FD4"/>
    <w:rsid w:val="00680B5A"/>
    <w:rsid w:val="006922AF"/>
    <w:rsid w:val="006A2314"/>
    <w:rsid w:val="006E30CC"/>
    <w:rsid w:val="0070137B"/>
    <w:rsid w:val="00702D5C"/>
    <w:rsid w:val="0072589F"/>
    <w:rsid w:val="00777F03"/>
    <w:rsid w:val="00785772"/>
    <w:rsid w:val="00792160"/>
    <w:rsid w:val="007A6653"/>
    <w:rsid w:val="007C1F75"/>
    <w:rsid w:val="007C78DE"/>
    <w:rsid w:val="007F60FC"/>
    <w:rsid w:val="00802C99"/>
    <w:rsid w:val="00855C08"/>
    <w:rsid w:val="00875D46"/>
    <w:rsid w:val="008A5A1B"/>
    <w:rsid w:val="009054C9"/>
    <w:rsid w:val="009055B2"/>
    <w:rsid w:val="00906AEF"/>
    <w:rsid w:val="00912F12"/>
    <w:rsid w:val="00922CA9"/>
    <w:rsid w:val="009508FE"/>
    <w:rsid w:val="009712DE"/>
    <w:rsid w:val="00972643"/>
    <w:rsid w:val="009767E1"/>
    <w:rsid w:val="009C6CDA"/>
    <w:rsid w:val="009D6D82"/>
    <w:rsid w:val="00A02B4F"/>
    <w:rsid w:val="00A16AD9"/>
    <w:rsid w:val="00A16D60"/>
    <w:rsid w:val="00A3059F"/>
    <w:rsid w:val="00A57BD7"/>
    <w:rsid w:val="00A64F2A"/>
    <w:rsid w:val="00A6606D"/>
    <w:rsid w:val="00A865B3"/>
    <w:rsid w:val="00AA34CE"/>
    <w:rsid w:val="00AD6F1A"/>
    <w:rsid w:val="00AE7E72"/>
    <w:rsid w:val="00B67A13"/>
    <w:rsid w:val="00BA0FD9"/>
    <w:rsid w:val="00BA50C9"/>
    <w:rsid w:val="00BB244C"/>
    <w:rsid w:val="00BB2D98"/>
    <w:rsid w:val="00BC3893"/>
    <w:rsid w:val="00BE0584"/>
    <w:rsid w:val="00C25F44"/>
    <w:rsid w:val="00C5406A"/>
    <w:rsid w:val="00C552DB"/>
    <w:rsid w:val="00C55DE5"/>
    <w:rsid w:val="00C8254E"/>
    <w:rsid w:val="00C87669"/>
    <w:rsid w:val="00C96C26"/>
    <w:rsid w:val="00CB2FAD"/>
    <w:rsid w:val="00CD06C9"/>
    <w:rsid w:val="00CF4F8B"/>
    <w:rsid w:val="00D25345"/>
    <w:rsid w:val="00D26443"/>
    <w:rsid w:val="00D57E67"/>
    <w:rsid w:val="00D7041C"/>
    <w:rsid w:val="00D901E3"/>
    <w:rsid w:val="00DD03E6"/>
    <w:rsid w:val="00E27CE0"/>
    <w:rsid w:val="00E6088E"/>
    <w:rsid w:val="00E86EDE"/>
    <w:rsid w:val="00E97E75"/>
    <w:rsid w:val="00EB668B"/>
    <w:rsid w:val="00EE6F76"/>
    <w:rsid w:val="00EF689A"/>
    <w:rsid w:val="00F0237C"/>
    <w:rsid w:val="00F5129A"/>
    <w:rsid w:val="00F97A76"/>
    <w:rsid w:val="00FF29FE"/>
    <w:rsid w:val="00FF4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BD7"/>
    <w:pPr>
      <w:ind w:left="720"/>
      <w:contextualSpacing/>
    </w:pPr>
    <w:rPr>
      <w:rFonts w:ascii="Cambria" w:eastAsia="MS ??" w:hAnsi="Cambria"/>
      <w:lang w:val="en-US" w:eastAsia="en-US"/>
    </w:rPr>
  </w:style>
  <w:style w:type="paragraph" w:styleId="BalloonText">
    <w:name w:val="Balloon Text"/>
    <w:basedOn w:val="Normal"/>
    <w:link w:val="BalloonTextChar"/>
    <w:rsid w:val="00264A60"/>
    <w:rPr>
      <w:rFonts w:ascii="Tahoma" w:hAnsi="Tahoma" w:cs="Tahoma"/>
      <w:sz w:val="16"/>
      <w:szCs w:val="16"/>
    </w:rPr>
  </w:style>
  <w:style w:type="character" w:customStyle="1" w:styleId="BalloonTextChar">
    <w:name w:val="Balloon Text Char"/>
    <w:link w:val="BalloonText"/>
    <w:rsid w:val="00264A60"/>
    <w:rPr>
      <w:rFonts w:ascii="Tahoma" w:hAnsi="Tahoma" w:cs="Tahoma"/>
      <w:sz w:val="16"/>
      <w:szCs w:val="16"/>
    </w:rPr>
  </w:style>
  <w:style w:type="paragraph" w:styleId="DocumentMap">
    <w:name w:val="Document Map"/>
    <w:basedOn w:val="Normal"/>
    <w:semiHidden/>
    <w:rsid w:val="00BB2D98"/>
    <w:pPr>
      <w:shd w:val="clear" w:color="auto" w:fill="000080"/>
    </w:pPr>
    <w:rPr>
      <w:rFonts w:ascii="Tahoma" w:hAnsi="Tahoma" w:cs="Tahoma"/>
      <w:sz w:val="20"/>
      <w:szCs w:val="20"/>
    </w:rPr>
  </w:style>
  <w:style w:type="character" w:styleId="Hyperlink">
    <w:name w:val="Hyperlink"/>
    <w:rsid w:val="00802C99"/>
    <w:rPr>
      <w:color w:val="0000FF"/>
      <w:u w:val="single"/>
    </w:rPr>
  </w:style>
  <w:style w:type="character" w:styleId="FollowedHyperlink">
    <w:name w:val="FollowedHyperlink"/>
    <w:rsid w:val="00D25345"/>
    <w:rPr>
      <w:color w:val="800080"/>
      <w:u w:val="single"/>
    </w:rPr>
  </w:style>
  <w:style w:type="character" w:styleId="CommentReference">
    <w:name w:val="annotation reference"/>
    <w:semiHidden/>
    <w:rsid w:val="00617FD4"/>
    <w:rPr>
      <w:sz w:val="16"/>
      <w:szCs w:val="16"/>
    </w:rPr>
  </w:style>
  <w:style w:type="paragraph" w:styleId="CommentText">
    <w:name w:val="annotation text"/>
    <w:basedOn w:val="Normal"/>
    <w:semiHidden/>
    <w:rsid w:val="00617FD4"/>
    <w:rPr>
      <w:sz w:val="20"/>
      <w:szCs w:val="20"/>
    </w:rPr>
  </w:style>
  <w:style w:type="paragraph" w:styleId="CommentSubject">
    <w:name w:val="annotation subject"/>
    <w:basedOn w:val="CommentText"/>
    <w:next w:val="CommentText"/>
    <w:semiHidden/>
    <w:rsid w:val="00617FD4"/>
    <w:rPr>
      <w:b/>
      <w:bCs/>
    </w:rPr>
  </w:style>
  <w:style w:type="paragraph" w:customStyle="1" w:styleId="Normal1">
    <w:name w:val="Normal1"/>
    <w:rsid w:val="001A7E39"/>
    <w:pPr>
      <w:widowControl w:val="0"/>
      <w:spacing w:line="276" w:lineRule="auto"/>
      <w:contextualSpacing/>
    </w:pPr>
    <w:rPr>
      <w:rFonts w:ascii="Arial" w:hAnsi="Arial" w:cs="Arial"/>
      <w:color w:val="000000"/>
      <w:sz w:val="22"/>
      <w:szCs w:val="22"/>
    </w:rPr>
  </w:style>
  <w:style w:type="paragraph" w:styleId="BodyText">
    <w:name w:val="Body Text"/>
    <w:basedOn w:val="Normal"/>
    <w:rsid w:val="00404AC7"/>
    <w:pPr>
      <w:suppressAutoHyphens/>
      <w:overflowPunct w:val="0"/>
      <w:autoSpaceDE w:val="0"/>
      <w:textAlignment w:val="baseline"/>
    </w:pPr>
    <w:rPr>
      <w:b/>
      <w:color w:val="000000"/>
      <w:szCs w:val="20"/>
      <w:lang w:val="en-US" w:eastAsia="ar-SA"/>
    </w:rPr>
  </w:style>
  <w:style w:type="paragraph" w:styleId="NormalWeb">
    <w:name w:val="Normal (Web)"/>
    <w:basedOn w:val="Normal"/>
    <w:rsid w:val="009712D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BD7"/>
    <w:pPr>
      <w:ind w:left="720"/>
      <w:contextualSpacing/>
    </w:pPr>
    <w:rPr>
      <w:rFonts w:ascii="Cambria" w:eastAsia="MS ??" w:hAnsi="Cambria"/>
      <w:lang w:val="en-US" w:eastAsia="en-US"/>
    </w:rPr>
  </w:style>
  <w:style w:type="paragraph" w:styleId="BalloonText">
    <w:name w:val="Balloon Text"/>
    <w:basedOn w:val="Normal"/>
    <w:link w:val="BalloonTextChar"/>
    <w:rsid w:val="00264A60"/>
    <w:rPr>
      <w:rFonts w:ascii="Tahoma" w:hAnsi="Tahoma" w:cs="Tahoma"/>
      <w:sz w:val="16"/>
      <w:szCs w:val="16"/>
    </w:rPr>
  </w:style>
  <w:style w:type="character" w:customStyle="1" w:styleId="BalloonTextChar">
    <w:name w:val="Balloon Text Char"/>
    <w:link w:val="BalloonText"/>
    <w:rsid w:val="00264A60"/>
    <w:rPr>
      <w:rFonts w:ascii="Tahoma" w:hAnsi="Tahoma" w:cs="Tahoma"/>
      <w:sz w:val="16"/>
      <w:szCs w:val="16"/>
    </w:rPr>
  </w:style>
  <w:style w:type="paragraph" w:styleId="DocumentMap">
    <w:name w:val="Document Map"/>
    <w:basedOn w:val="Normal"/>
    <w:semiHidden/>
    <w:rsid w:val="00BB2D98"/>
    <w:pPr>
      <w:shd w:val="clear" w:color="auto" w:fill="000080"/>
    </w:pPr>
    <w:rPr>
      <w:rFonts w:ascii="Tahoma" w:hAnsi="Tahoma" w:cs="Tahoma"/>
      <w:sz w:val="20"/>
      <w:szCs w:val="20"/>
    </w:rPr>
  </w:style>
  <w:style w:type="character" w:styleId="Hyperlink">
    <w:name w:val="Hyperlink"/>
    <w:rsid w:val="00802C99"/>
    <w:rPr>
      <w:color w:val="0000FF"/>
      <w:u w:val="single"/>
    </w:rPr>
  </w:style>
  <w:style w:type="character" w:styleId="FollowedHyperlink">
    <w:name w:val="FollowedHyperlink"/>
    <w:rsid w:val="00D25345"/>
    <w:rPr>
      <w:color w:val="800080"/>
      <w:u w:val="single"/>
    </w:rPr>
  </w:style>
  <w:style w:type="character" w:styleId="CommentReference">
    <w:name w:val="annotation reference"/>
    <w:semiHidden/>
    <w:rsid w:val="00617FD4"/>
    <w:rPr>
      <w:sz w:val="16"/>
      <w:szCs w:val="16"/>
    </w:rPr>
  </w:style>
  <w:style w:type="paragraph" w:styleId="CommentText">
    <w:name w:val="annotation text"/>
    <w:basedOn w:val="Normal"/>
    <w:semiHidden/>
    <w:rsid w:val="00617FD4"/>
    <w:rPr>
      <w:sz w:val="20"/>
      <w:szCs w:val="20"/>
    </w:rPr>
  </w:style>
  <w:style w:type="paragraph" w:styleId="CommentSubject">
    <w:name w:val="annotation subject"/>
    <w:basedOn w:val="CommentText"/>
    <w:next w:val="CommentText"/>
    <w:semiHidden/>
    <w:rsid w:val="00617FD4"/>
    <w:rPr>
      <w:b/>
      <w:bCs/>
    </w:rPr>
  </w:style>
  <w:style w:type="paragraph" w:customStyle="1" w:styleId="Normal1">
    <w:name w:val="Normal1"/>
    <w:rsid w:val="001A7E39"/>
    <w:pPr>
      <w:widowControl w:val="0"/>
      <w:spacing w:line="276" w:lineRule="auto"/>
      <w:contextualSpacing/>
    </w:pPr>
    <w:rPr>
      <w:rFonts w:ascii="Arial" w:hAnsi="Arial" w:cs="Arial"/>
      <w:color w:val="000000"/>
      <w:sz w:val="22"/>
      <w:szCs w:val="22"/>
    </w:rPr>
  </w:style>
  <w:style w:type="paragraph" w:styleId="BodyText">
    <w:name w:val="Body Text"/>
    <w:basedOn w:val="Normal"/>
    <w:rsid w:val="00404AC7"/>
    <w:pPr>
      <w:suppressAutoHyphens/>
      <w:overflowPunct w:val="0"/>
      <w:autoSpaceDE w:val="0"/>
      <w:textAlignment w:val="baseline"/>
    </w:pPr>
    <w:rPr>
      <w:b/>
      <w:color w:val="000000"/>
      <w:szCs w:val="20"/>
      <w:lang w:val="en-US" w:eastAsia="ar-SA"/>
    </w:rPr>
  </w:style>
  <w:style w:type="paragraph" w:styleId="NormalWeb">
    <w:name w:val="Normal (Web)"/>
    <w:basedOn w:val="Normal"/>
    <w:rsid w:val="009712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837580">
      <w:bodyDiv w:val="1"/>
      <w:marLeft w:val="0"/>
      <w:marRight w:val="0"/>
      <w:marTop w:val="0"/>
      <w:marBottom w:val="0"/>
      <w:divBdr>
        <w:top w:val="none" w:sz="0" w:space="0" w:color="auto"/>
        <w:left w:val="none" w:sz="0" w:space="0" w:color="auto"/>
        <w:bottom w:val="none" w:sz="0" w:space="0" w:color="auto"/>
        <w:right w:val="none" w:sz="0" w:space="0" w:color="auto"/>
      </w:divBdr>
    </w:div>
    <w:div w:id="534123599">
      <w:bodyDiv w:val="1"/>
      <w:marLeft w:val="0"/>
      <w:marRight w:val="0"/>
      <w:marTop w:val="0"/>
      <w:marBottom w:val="0"/>
      <w:divBdr>
        <w:top w:val="none" w:sz="0" w:space="0" w:color="auto"/>
        <w:left w:val="none" w:sz="0" w:space="0" w:color="auto"/>
        <w:bottom w:val="none" w:sz="0" w:space="0" w:color="auto"/>
        <w:right w:val="none" w:sz="0" w:space="0" w:color="auto"/>
      </w:divBdr>
    </w:div>
    <w:div w:id="1158763990">
      <w:bodyDiv w:val="1"/>
      <w:marLeft w:val="0"/>
      <w:marRight w:val="0"/>
      <w:marTop w:val="0"/>
      <w:marBottom w:val="0"/>
      <w:divBdr>
        <w:top w:val="none" w:sz="0" w:space="0" w:color="auto"/>
        <w:left w:val="none" w:sz="0" w:space="0" w:color="auto"/>
        <w:bottom w:val="none" w:sz="0" w:space="0" w:color="auto"/>
        <w:right w:val="none" w:sz="0" w:space="0" w:color="auto"/>
      </w:divBdr>
      <w:divsChild>
        <w:div w:id="876239049">
          <w:marLeft w:val="0"/>
          <w:marRight w:val="0"/>
          <w:marTop w:val="0"/>
          <w:marBottom w:val="0"/>
          <w:divBdr>
            <w:top w:val="none" w:sz="0" w:space="0" w:color="auto"/>
            <w:left w:val="none" w:sz="0" w:space="0" w:color="auto"/>
            <w:bottom w:val="none" w:sz="0" w:space="0" w:color="auto"/>
            <w:right w:val="none" w:sz="0" w:space="0" w:color="auto"/>
          </w:divBdr>
          <w:divsChild>
            <w:div w:id="1715082995">
              <w:marLeft w:val="0"/>
              <w:marRight w:val="0"/>
              <w:marTop w:val="0"/>
              <w:marBottom w:val="0"/>
              <w:divBdr>
                <w:top w:val="none" w:sz="0" w:space="0" w:color="auto"/>
                <w:left w:val="none" w:sz="0" w:space="0" w:color="auto"/>
                <w:bottom w:val="none" w:sz="0" w:space="0" w:color="auto"/>
                <w:right w:val="none" w:sz="0" w:space="0" w:color="auto"/>
              </w:divBdr>
            </w:div>
            <w:div w:id="18470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HM Revenue and Customs</Company>
  <LinksUpToDate>false</LinksUpToDate>
  <CharactersWithSpaces>5064</CharactersWithSpaces>
  <SharedDoc>false</SharedDoc>
  <HLinks>
    <vt:vector size="12" baseType="variant">
      <vt:variant>
        <vt:i4>7798887</vt:i4>
      </vt:variant>
      <vt:variant>
        <vt:i4>6</vt:i4>
      </vt:variant>
      <vt:variant>
        <vt:i4>0</vt:i4>
      </vt:variant>
      <vt:variant>
        <vt:i4>5</vt:i4>
      </vt:variant>
      <vt:variant>
        <vt:lpwstr>http://digital.cabinetoffice.gov.uk/category/id-assurance/</vt:lpwstr>
      </vt:variant>
      <vt:variant>
        <vt:lpwstr/>
      </vt:variant>
      <vt:variant>
        <vt:i4>6357038</vt:i4>
      </vt:variant>
      <vt:variant>
        <vt:i4>3</vt:i4>
      </vt:variant>
      <vt:variant>
        <vt:i4>0</vt:i4>
      </vt:variant>
      <vt:variant>
        <vt:i4>5</vt:i4>
      </vt:variant>
      <vt:variant>
        <vt:lpwstr>https://identityassurance.blog.gov.uk/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2367610</dc:creator>
  <cp:lastModifiedBy>Wood Simon</cp:lastModifiedBy>
  <cp:revision>2</cp:revision>
  <cp:lastPrinted>2014-02-04T17:45:00Z</cp:lastPrinted>
  <dcterms:created xsi:type="dcterms:W3CDTF">2014-10-21T09:17:00Z</dcterms:created>
  <dcterms:modified xsi:type="dcterms:W3CDTF">2014-10-21T09:17:00Z</dcterms:modified>
</cp:coreProperties>
</file>