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777"/>
      </w:tblGrid>
      <w:tr w:rsidR="00A71958" w14:paraId="7349AC01" w14:textId="77777777" w:rsidTr="00A71958">
        <w:trPr>
          <w:cantSplit/>
          <w:trHeight w:val="1323"/>
        </w:trPr>
        <w:tc>
          <w:tcPr>
            <w:tcW w:w="10463" w:type="dxa"/>
            <w:gridSpan w:val="2"/>
            <w:tcBorders>
              <w:left w:val="nil"/>
            </w:tcBorders>
          </w:tcPr>
          <w:p w14:paraId="62946DEB" w14:textId="77777777" w:rsidR="00A71958" w:rsidRPr="00A538A1" w:rsidRDefault="00A71958" w:rsidP="00A71958">
            <w:pPr>
              <w:jc w:val="right"/>
            </w:pPr>
            <w:bookmarkStart w:id="0" w:name="_GoBack"/>
            <w:bookmarkEnd w:id="0"/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58752" behindDoc="0" locked="0" layoutInCell="1" allowOverlap="1" wp14:anchorId="456EC4C6" wp14:editId="457FAA2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3506</wp:posOffset>
                  </wp:positionV>
                  <wp:extent cx="1116330" cy="765810"/>
                  <wp:effectExtent l="0" t="0" r="7620" b="0"/>
                  <wp:wrapNone/>
                  <wp:docPr id="3" name="Picture 3" descr="HMRC14-WEL-blk-35m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MRC14-WEL-blk-35mm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  <w:r w:rsidRPr="00A71958">
              <w:rPr>
                <w:b/>
                <w:sz w:val="40"/>
                <w:szCs w:val="40"/>
              </w:rPr>
              <w:t>Cyfraddau Treth Incwm Cymru (CTIC)</w:t>
            </w:r>
          </w:p>
        </w:tc>
      </w:tr>
      <w:tr w:rsidR="004E776C" w14:paraId="45470356" w14:textId="77777777" w:rsidTr="00745023">
        <w:trPr>
          <w:cantSplit/>
          <w:trHeight w:hRule="exact" w:val="227"/>
        </w:trPr>
        <w:tc>
          <w:tcPr>
            <w:tcW w:w="3686" w:type="dxa"/>
            <w:tcBorders>
              <w:left w:val="nil"/>
            </w:tcBorders>
          </w:tcPr>
          <w:p w14:paraId="6C58A82F" w14:textId="77777777" w:rsidR="004E776C" w:rsidRDefault="004E776C" w:rsidP="00745023"/>
        </w:tc>
        <w:tc>
          <w:tcPr>
            <w:tcW w:w="6777" w:type="dxa"/>
            <w:tcBorders>
              <w:left w:val="nil"/>
            </w:tcBorders>
          </w:tcPr>
          <w:p w14:paraId="2038FCCD" w14:textId="77777777" w:rsidR="004E776C" w:rsidRPr="007646CC" w:rsidRDefault="004E776C" w:rsidP="00745023"/>
        </w:tc>
      </w:tr>
    </w:tbl>
    <w:p w14:paraId="5057E34A" w14:textId="77777777" w:rsidR="004E776C" w:rsidRDefault="004E776C" w:rsidP="004E776C">
      <w:pPr>
        <w:pStyle w:val="Spacebeforetable"/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84"/>
        <w:gridCol w:w="3782"/>
      </w:tblGrid>
      <w:tr w:rsidR="004E776C" w:rsidRPr="00760710" w14:paraId="07D61D67" w14:textId="77777777" w:rsidTr="00745023">
        <w:trPr>
          <w:cantSplit/>
          <w:trHeight w:val="11869"/>
        </w:trPr>
        <w:tc>
          <w:tcPr>
            <w:tcW w:w="63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7810C" w14:textId="77777777" w:rsidR="004E776C" w:rsidRPr="00A538A1" w:rsidRDefault="004E776C" w:rsidP="00745023">
            <w:pPr>
              <w:pStyle w:val="Formheader"/>
            </w:pPr>
            <w:r>
              <w:t>Gwybodaeth i gyflogeion</w:t>
            </w:r>
          </w:p>
          <w:p w14:paraId="58DE8A2A" w14:textId="77777777" w:rsidR="004E776C" w:rsidRPr="00A538A1" w:rsidRDefault="004E776C" w:rsidP="00745023">
            <w:pPr>
              <w:pStyle w:val="Bodytext"/>
            </w:pPr>
            <w:r>
              <w:t>Bydd cyfraddau Treth Incwm Cymru yn dod i rym ar 6 Ebrill 2019, sef blwyddyn dreth 2019 i 2020 ymlaen.</w:t>
            </w:r>
          </w:p>
          <w:p w14:paraId="6C67612B" w14:textId="77777777" w:rsidR="004E776C" w:rsidRPr="00000253" w:rsidRDefault="004E776C" w:rsidP="00745023">
            <w:pPr>
              <w:pStyle w:val="HeadingA"/>
            </w:pPr>
            <w:r>
              <w:t>Beth mae hyn yn ei olygu i chi</w:t>
            </w:r>
          </w:p>
          <w:p w14:paraId="5507AEBF" w14:textId="77777777" w:rsidR="004E776C" w:rsidRPr="00000253" w:rsidRDefault="004E776C" w:rsidP="00745023">
            <w:pPr>
              <w:pStyle w:val="Bodytext"/>
            </w:pPr>
            <w:r>
              <w:t>Os ydych wedi’ch nodi’n drethdalwr Cymreig, byddwch yn talu cyfraddau Treth Incwm Cymru (CTIC) ar eich enillion neu’ch pensiwn. Mae’n bosibl y byddwch yn talu cyfradd Treth Incwm wahanol i bobl mewn rhannau eraill o’r DU, ond bydd hyn yn dibynnu ar y cyfraddau a bennir gan Lywodraeth Cymru. Bydd rhywfaint o’ch Treth Incwm yn cael ei thalu i Lywodraeth Cymru er mwyn ariannu gwasanaethau’n uniongyrchol yng Nghymru.</w:t>
            </w:r>
          </w:p>
          <w:p w14:paraId="22C7C69B" w14:textId="77777777" w:rsidR="004E776C" w:rsidRPr="00290EC7" w:rsidRDefault="0090292C" w:rsidP="00745023">
            <w:pPr>
              <w:pStyle w:val="HeadingA"/>
            </w:pPr>
            <w:r>
              <w:t>Preswylfa</w:t>
            </w:r>
          </w:p>
          <w:p w14:paraId="651AED64" w14:textId="77777777" w:rsidR="004E776C" w:rsidRPr="00000253" w:rsidRDefault="004E776C" w:rsidP="00F0446F">
            <w:pPr>
              <w:pStyle w:val="HeadingB"/>
            </w:pPr>
            <w:r>
              <w:t>Sut i benderfynu a ydych yn drethdalwr Cymreig</w:t>
            </w:r>
          </w:p>
          <w:p w14:paraId="5512014D" w14:textId="77777777" w:rsidR="004E776C" w:rsidRPr="00A538A1" w:rsidRDefault="004E776C" w:rsidP="00745023">
            <w:pPr>
              <w:pStyle w:val="Bodytext"/>
              <w:rPr>
                <w:rFonts w:eastAsia="Calibri"/>
              </w:rPr>
            </w:pPr>
            <w:r>
              <w:t>Mae’r diffiniad o drethdalwr Cymreig yn dibynnu ar eich prif breswylfa, yn hytrach na’ch man gweithio. Trethdalwr Cymreig yw rhywun sy’n preswylio yn y DU at ddibenion treth, ac sydd â’i unig neu ei brif fan preswylio yng Nghymru am fwy o’r flwyddyn dreth nag mewn unrhyw ran arall o’r DU.</w:t>
            </w:r>
          </w:p>
          <w:p w14:paraId="2EC8B6FF" w14:textId="77777777" w:rsidR="004E776C" w:rsidRPr="00DD0AB7" w:rsidRDefault="004E776C" w:rsidP="00DD0AB7">
            <w:pPr>
              <w:pStyle w:val="HeadingB"/>
            </w:pPr>
            <w:r>
              <w:t>Prif fan preswylio</w:t>
            </w:r>
          </w:p>
          <w:p w14:paraId="65212E2D" w14:textId="77777777" w:rsidR="004E776C" w:rsidRPr="00A538A1" w:rsidRDefault="002C46D9" w:rsidP="00745023">
            <w:pPr>
              <w:pStyle w:val="Bodytext"/>
            </w:pPr>
            <w:r>
              <w:t xml:space="preserve">Nid yw hwn o reidrwydd yn golygu’r breswylfa lle’r ydych yn treulio’r rhan fwyaf o’ch amser. Yn hytrach, hwn yw’r ‘man preswylio’ y mae gennych y cysylltiad mwyaf ag ef. </w:t>
            </w:r>
          </w:p>
          <w:p w14:paraId="44F55082" w14:textId="77777777" w:rsidR="004E776C" w:rsidRPr="00A538A1" w:rsidRDefault="004E776C" w:rsidP="00745023">
            <w:pPr>
              <w:pStyle w:val="Bodytext"/>
            </w:pPr>
            <w:r>
              <w:t xml:space="preserve">Dyma rai ffactorau sy’n dangos p’un a yw lle yn golygu ‘prif fan preswylio’: </w:t>
            </w:r>
          </w:p>
          <w:p w14:paraId="121E751A" w14:textId="77777777" w:rsidR="004E776C" w:rsidRDefault="004E776C" w:rsidP="004E776C">
            <w:pPr>
              <w:pStyle w:val="Bullettext"/>
              <w:tabs>
                <w:tab w:val="clear" w:pos="360"/>
              </w:tabs>
              <w:ind w:left="227" w:hanging="227"/>
            </w:pPr>
            <w:r>
              <w:t>eich cartref teuluol</w:t>
            </w:r>
          </w:p>
          <w:p w14:paraId="357F332C" w14:textId="77777777" w:rsidR="004E776C" w:rsidRDefault="004E776C" w:rsidP="004E776C">
            <w:pPr>
              <w:pStyle w:val="Bullettext"/>
              <w:tabs>
                <w:tab w:val="clear" w:pos="360"/>
              </w:tabs>
              <w:ind w:left="227" w:hanging="227"/>
            </w:pPr>
            <w:r>
              <w:t>y man lle’r ydych wedi’ch cofrestru i bleidleisio</w:t>
            </w:r>
          </w:p>
          <w:p w14:paraId="6BDAF8D2" w14:textId="77777777" w:rsidR="004E776C" w:rsidRDefault="004E776C" w:rsidP="004E776C">
            <w:pPr>
              <w:pStyle w:val="Bullettext"/>
              <w:tabs>
                <w:tab w:val="clear" w:pos="360"/>
              </w:tabs>
              <w:ind w:left="227" w:hanging="227"/>
            </w:pPr>
            <w:r>
              <w:t>y man lle cedwir y rhan fwyaf o’ch eiddo personol</w:t>
            </w:r>
          </w:p>
          <w:p w14:paraId="4A888853" w14:textId="77777777" w:rsidR="004E776C" w:rsidRPr="00244807" w:rsidRDefault="004E776C" w:rsidP="004E776C">
            <w:pPr>
              <w:pStyle w:val="Bullettext"/>
              <w:tabs>
                <w:tab w:val="clear" w:pos="360"/>
              </w:tabs>
              <w:ind w:left="227" w:hanging="227"/>
            </w:pPr>
            <w:r>
              <w:t>eich cyfeiriad gohebu</w:t>
            </w:r>
          </w:p>
          <w:p w14:paraId="72E2B1B0" w14:textId="77777777" w:rsidR="004E776C" w:rsidRPr="007065ED" w:rsidRDefault="004E776C" w:rsidP="00745023">
            <w:pPr>
              <w:pStyle w:val="HeadingA"/>
            </w:pPr>
            <w:r>
              <w:t>Rhoi gwybod i CThEM am newidiadau i’ch cyfeiriad</w:t>
            </w:r>
          </w:p>
          <w:p w14:paraId="7DC7AF76" w14:textId="77777777" w:rsidR="004E776C" w:rsidRPr="00EF406D" w:rsidRDefault="004E776C" w:rsidP="00B20E4A">
            <w:pPr>
              <w:pStyle w:val="Bodytext"/>
            </w:pPr>
            <w:r>
              <w:t xml:space="preserve">Eich cyfrifoldeb chi yw rhoi gwybod i CThEM os bydd eich cyfeiriad yn newid. Os byddwch yn symud, dylech roi’ch cyfeiriad newydd i CThEM. Gallwch wneud hyn yn: </w:t>
            </w:r>
            <w:r>
              <w:br/>
            </w:r>
            <w:hyperlink r:id="rId9">
              <w:r w:rsidR="00A71958">
                <w:rPr>
                  <w:rStyle w:val="Hyperlink"/>
                  <w:color w:val="auto"/>
                  <w:u w:val="none"/>
                </w:rPr>
                <w:t>www.gov.uk/rhoi-gwybod-i-cthem-newid-manylion</w:t>
              </w:r>
            </w:hyperlink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70A32BE3" w14:textId="77777777" w:rsidR="004E776C" w:rsidRDefault="004E776C" w:rsidP="00745023">
            <w:pPr>
              <w:pStyle w:val="Spacebeforetable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ED7A491" w14:textId="77777777" w:rsidR="004E776C" w:rsidRDefault="0090292C" w:rsidP="00745023">
            <w:pPr>
              <w:pStyle w:val="Panelheading"/>
              <w:spacing w:before="0"/>
            </w:pPr>
            <w:r>
              <w:t>Beth yw cyfraddau Treth Incwm Cymru?</w:t>
            </w:r>
          </w:p>
          <w:p w14:paraId="71D12750" w14:textId="77777777" w:rsidR="004E776C" w:rsidRPr="004E776C" w:rsidRDefault="004E776C" w:rsidP="00EB31EA">
            <w:pPr>
              <w:pStyle w:val="PanelBodytext"/>
            </w:pPr>
            <w:r>
              <w:t xml:space="preserve">Rhoddodd Deddf Cymru 2014 y pŵer i Lywodraeth Cymru </w:t>
            </w:r>
            <w:r w:rsidR="00A71958">
              <w:t xml:space="preserve">i </w:t>
            </w:r>
            <w:r>
              <w:t xml:space="preserve">bennu cyfraddau Treth Incwm Cymru, gan roi fwy o reolaeth i Lywodraeth Cymru dros gyfran sylweddol o’r gyllideb yng Nghymru a sut y caiff ei dyrannu. </w:t>
            </w:r>
          </w:p>
          <w:p w14:paraId="7FDE23B1" w14:textId="77777777" w:rsidR="00EB31EA" w:rsidRDefault="004E776C" w:rsidP="00EB31EA">
            <w:pPr>
              <w:pStyle w:val="PanelBodytext"/>
            </w:pPr>
            <w:r>
              <w:t xml:space="preserve">Bydd cyfraddau Treth Incwm Cymru yn berthnasol i bob incwm nad yw’n deillio o gynilion na difidendau. </w:t>
            </w:r>
          </w:p>
          <w:p w14:paraId="080C326B" w14:textId="77777777" w:rsidR="004E776C" w:rsidRPr="004E776C" w:rsidRDefault="004E776C" w:rsidP="00EB31EA">
            <w:pPr>
              <w:pStyle w:val="PanelBodytext"/>
            </w:pPr>
            <w:r>
              <w:t>Ni fydd cyfraddau Treth Incwm Cymru yn effeithio ar Yswiriant Gwladol.</w:t>
            </w:r>
          </w:p>
          <w:p w14:paraId="56F6E2C0" w14:textId="77777777" w:rsidR="004E776C" w:rsidRPr="004E776C" w:rsidRDefault="004E776C" w:rsidP="00EB31EA">
            <w:pPr>
              <w:pStyle w:val="PanelBodytext"/>
            </w:pPr>
            <w:r>
              <w:t>Mae rhagor o wybodaeth ar gael yn:</w:t>
            </w:r>
            <w:r>
              <w:br/>
            </w:r>
            <w:hyperlink r:id="rId10">
              <w:r>
                <w:rPr>
                  <w:rStyle w:val="Hyperlink"/>
                  <w:color w:val="auto"/>
                  <w:u w:val="none"/>
                </w:rPr>
                <w:t>www.gov.uk/treth-incwm-cymru</w:t>
              </w:r>
            </w:hyperlink>
          </w:p>
          <w:p w14:paraId="5865BC36" w14:textId="77777777" w:rsidR="00EB31EA" w:rsidRDefault="004E776C" w:rsidP="00EB31EA">
            <w:pPr>
              <w:pStyle w:val="PanelBodytext"/>
            </w:pPr>
            <w:r>
              <w:t xml:space="preserve">Cyhoeddodd Llywodraeth Cymru gynlluniau ar gyfer cyfraddau Cymru ar gyfer blwyddyn dreth 2019 i 2020 yn ei chyllideb ddrafft ym mis Hydref 2018. </w:t>
            </w:r>
          </w:p>
          <w:p w14:paraId="51F24300" w14:textId="77777777" w:rsidR="004E776C" w:rsidRDefault="004E776C" w:rsidP="00EB31EA">
            <w:pPr>
              <w:pStyle w:val="PanelBodytext"/>
            </w:pPr>
            <w:r>
              <w:t xml:space="preserve">Mae rhagor o wybodaeth ar gael yn: </w:t>
            </w:r>
            <w:hyperlink r:id="rId11">
              <w:r>
                <w:rPr>
                  <w:rStyle w:val="Hyperlink"/>
                  <w:color w:val="auto"/>
                  <w:u w:val="none"/>
                </w:rPr>
                <w:t>www.llyw.cymru/trethicymru</w:t>
              </w:r>
            </w:hyperlink>
          </w:p>
          <w:p w14:paraId="5601399B" w14:textId="77777777" w:rsidR="004E776C" w:rsidRPr="00000253" w:rsidRDefault="004E776C" w:rsidP="00745023">
            <w:pPr>
              <w:pStyle w:val="Bodytext"/>
              <w:rPr>
                <w:rFonts w:eastAsia="Calibri"/>
              </w:rPr>
            </w:pPr>
          </w:p>
          <w:p w14:paraId="080BCAA6" w14:textId="77777777" w:rsidR="004E776C" w:rsidRPr="00000253" w:rsidRDefault="004E776C" w:rsidP="00745023">
            <w:pPr>
              <w:pStyle w:val="HeadingAnorule"/>
              <w:rPr>
                <w:rFonts w:eastAsia="Calibri"/>
              </w:rPr>
            </w:pPr>
            <w:r>
              <w:t>Pryd y bydd cyfraddau Treth Incwm Cymru yn dechrau?</w:t>
            </w:r>
          </w:p>
          <w:p w14:paraId="476A05E4" w14:textId="77777777" w:rsidR="004E776C" w:rsidRPr="00000253" w:rsidRDefault="00D320EC" w:rsidP="00745023">
            <w:pPr>
              <w:pStyle w:val="Bodytext"/>
              <w:jc w:val="center"/>
              <w:rPr>
                <w:rFonts w:eastAsia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8E06080" wp14:editId="54F39DC3">
                      <wp:simplePos x="0" y="0"/>
                      <wp:positionH relativeFrom="column">
                        <wp:posOffset>568792</wp:posOffset>
                      </wp:positionH>
                      <wp:positionV relativeFrom="paragraph">
                        <wp:posOffset>621557</wp:posOffset>
                      </wp:positionV>
                      <wp:extent cx="1104181" cy="67056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181" cy="670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7D8F9" w14:textId="77777777" w:rsidR="004E776C" w:rsidRPr="001C292B" w:rsidRDefault="004E776C" w:rsidP="004E776C">
                                  <w:pPr>
                                    <w:pStyle w:val="HeadingAnorule"/>
                                    <w:spacing w:before="0"/>
                                    <w:contextualSpacing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 Ebrill</w:t>
                                  </w:r>
                                </w:p>
                                <w:p w14:paraId="1E5BB7E1" w14:textId="77777777" w:rsidR="004E776C" w:rsidRPr="001C292B" w:rsidRDefault="004E776C" w:rsidP="004E776C">
                                  <w:pPr>
                                    <w:pStyle w:val="HeadingAnorule"/>
                                    <w:spacing w:before="0"/>
                                    <w:contextualSpacing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60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44.8pt;margin-top:48.95pt;width:86.95pt;height:5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" filled="f" stroked="f">
                      <v:textbox>
                        <w:txbxContent>
                          <w:p w14:paraId="4B47D8F9" w14:textId="77777777" w:rsidR="004E776C" w:rsidRPr="001C292B" w:rsidRDefault="004E776C" w:rsidP="004E776C">
                            <w:pPr>
                              <w:pStyle w:val="HeadingAnorule"/>
                              <w:spacing w:before="0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 Ebrill</w:t>
                            </w:r>
                          </w:p>
                          <w:p w14:paraId="1E5BB7E1" w14:textId="77777777" w:rsidR="004E776C" w:rsidRPr="001C292B" w:rsidRDefault="004E776C" w:rsidP="004E776C">
                            <w:pPr>
                              <w:pStyle w:val="HeadingAnorule"/>
                              <w:spacing w:before="0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lang w:val="en-GB" w:eastAsia="en-GB" w:bidi="ar-SA"/>
              </w:rPr>
              <w:drawing>
                <wp:inline distT="0" distB="0" distL="0" distR="0" wp14:anchorId="6ED3F587" wp14:editId="547F21B8">
                  <wp:extent cx="1433830" cy="14338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0CF86" w14:textId="77777777" w:rsidR="004E776C" w:rsidRDefault="00EB31EA" w:rsidP="00B20E4A">
            <w:pPr>
              <w:pStyle w:val="Bodytext"/>
            </w:pPr>
            <w:r>
              <w:t>Bydd cyfraddau Treth Incwm Cymru yn dechrau ar 6 Ebrill 2019.</w:t>
            </w:r>
          </w:p>
        </w:tc>
      </w:tr>
      <w:tr w:rsidR="004E776C" w:rsidRPr="00760710" w14:paraId="5EA72939" w14:textId="77777777" w:rsidTr="00745023">
        <w:trPr>
          <w:cantSplit/>
          <w:trHeight w:hRule="exact" w:val="862"/>
        </w:trPr>
        <w:tc>
          <w:tcPr>
            <w:tcW w:w="63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2A41A" w14:textId="77777777" w:rsidR="004E776C" w:rsidRPr="005D67A6" w:rsidRDefault="004E776C" w:rsidP="00745023">
            <w:pPr>
              <w:pStyle w:val="Helpsheetheading"/>
              <w:spacing w:before="0" w:after="120"/>
              <w:rPr>
                <w:b/>
                <w:sz w:val="40"/>
                <w:szCs w:val="4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DCE4F4F" w14:textId="77777777" w:rsidR="004E776C" w:rsidRDefault="004E776C" w:rsidP="00745023">
            <w:pPr>
              <w:pStyle w:val="Spacebeforetable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bottom"/>
          </w:tcPr>
          <w:p w14:paraId="6EC5900B" w14:textId="77777777" w:rsidR="004E776C" w:rsidRPr="001C292B" w:rsidRDefault="004E776C" w:rsidP="00745023">
            <w:pPr>
              <w:pStyle w:val="QuestiontextIfyes"/>
              <w:spacing w:before="0"/>
            </w:pPr>
            <w:r>
              <w:t>Gwasanaethau Digidol CThEM</w:t>
            </w:r>
          </w:p>
          <w:p w14:paraId="2C33EA10" w14:textId="77777777" w:rsidR="004E776C" w:rsidRDefault="004E776C" w:rsidP="00745023">
            <w:pPr>
              <w:pStyle w:val="QuestiontextIfyes"/>
              <w:spacing w:before="0"/>
            </w:pPr>
            <w:r>
              <w:t>Tachwedd 2018 © Hawlfraint y Goron 2018</w:t>
            </w:r>
          </w:p>
        </w:tc>
      </w:tr>
    </w:tbl>
    <w:p w14:paraId="4DE55F80" w14:textId="77777777" w:rsidR="004E776C" w:rsidRDefault="004E776C" w:rsidP="004E776C">
      <w:pPr>
        <w:pStyle w:val="Spacebeforetable"/>
      </w:pPr>
      <w:r>
        <w:br w:type="page"/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1877"/>
      </w:tblGrid>
      <w:tr w:rsidR="00F0446F" w:rsidRPr="004E776C" w14:paraId="1832D9C3" w14:textId="77777777" w:rsidTr="004E776C">
        <w:tc>
          <w:tcPr>
            <w:tcW w:w="10490" w:type="dxa"/>
            <w:gridSpan w:val="2"/>
            <w:shd w:val="clear" w:color="auto" w:fill="auto"/>
          </w:tcPr>
          <w:p w14:paraId="738D8BA3" w14:textId="77777777" w:rsidR="004E776C" w:rsidRPr="0010756C" w:rsidRDefault="00B20E4A" w:rsidP="004E776C">
            <w:pPr>
              <w:pStyle w:val="HeadingA"/>
            </w:pPr>
            <w:r>
              <w:lastRenderedPageBreak/>
              <w:t>Sut y byddaf yn cael gwybod fy statws?</w:t>
            </w:r>
          </w:p>
        </w:tc>
      </w:tr>
      <w:tr w:rsidR="00B20E4A" w:rsidRPr="004E776C" w14:paraId="66BE9460" w14:textId="77777777" w:rsidTr="004E776C">
        <w:tc>
          <w:tcPr>
            <w:tcW w:w="10490" w:type="dxa"/>
            <w:gridSpan w:val="2"/>
            <w:shd w:val="clear" w:color="auto" w:fill="auto"/>
          </w:tcPr>
          <w:tbl>
            <w:tblPr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3"/>
              <w:gridCol w:w="1877"/>
            </w:tblGrid>
            <w:tr w:rsidR="00B20E4A" w:rsidRPr="004E776C" w14:paraId="0430D6E2" w14:textId="77777777" w:rsidTr="006E774E">
              <w:tc>
                <w:tcPr>
                  <w:tcW w:w="8613" w:type="dxa"/>
                  <w:shd w:val="clear" w:color="auto" w:fill="auto"/>
                </w:tcPr>
                <w:p w14:paraId="71D8D6E4" w14:textId="77777777" w:rsidR="00B20E4A" w:rsidRPr="00B20E4A" w:rsidRDefault="00B20E4A" w:rsidP="00B20E4A">
                  <w:pPr>
                    <w:pStyle w:val="Bodytext"/>
                  </w:pPr>
                  <w:r>
                    <w:t>Os oes gan CThEM gyfeiriad ar eich cyfer yng Nghymru, cewch eich ystyried yn drethdalwr Cymreig, a bydd eich cod treth yn dechrau gyda’r llythyren ‘C’ i ddangos eich bod yn drethdalwr Cymreig.</w:t>
                  </w:r>
                </w:p>
                <w:p w14:paraId="26B8ECDB" w14:textId="77777777" w:rsidR="00B20E4A" w:rsidRPr="00B20E4A" w:rsidRDefault="00B20E4A" w:rsidP="00B20E4A">
                  <w:pPr>
                    <w:pStyle w:val="Bodytext"/>
                  </w:pPr>
                  <w:r>
                    <w:t xml:space="preserve">Bydd CThEM yn ysgrifennu at drethdalwyr Cymreig posibl ym mis Tachwedd 2018. </w:t>
                  </w:r>
                </w:p>
                <w:p w14:paraId="1F634322" w14:textId="77777777" w:rsidR="00B20E4A" w:rsidRPr="00B20E4A" w:rsidRDefault="00B20E4A" w:rsidP="00B20E4A">
                  <w:pPr>
                    <w:pStyle w:val="Bodytext"/>
                  </w:pPr>
                  <w:r>
                    <w:t>Gan eich bod yn talu drwy ddull Talu Wrth Ennill (TWE), bydd CThEM yn rhoi gwybod i’ch cyflogwr y dylai eich trin chi fel trethdalwr Cymreig, a bydd eich enillion neu’ch pensiwn yn parhau i gael eu trethu fel y maent ar hyn o bryd.</w:t>
                  </w:r>
                </w:p>
              </w:tc>
              <w:tc>
                <w:tcPr>
                  <w:tcW w:w="1877" w:type="dxa"/>
                  <w:shd w:val="clear" w:color="auto" w:fill="auto"/>
                </w:tcPr>
                <w:p w14:paraId="3E134452" w14:textId="77777777" w:rsidR="00B20E4A" w:rsidRPr="004E776C" w:rsidRDefault="00B20E4A" w:rsidP="00B20E4A">
                  <w:pPr>
                    <w:pStyle w:val="Bodytext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60B04E74" w14:textId="77777777" w:rsidR="00B20E4A" w:rsidRDefault="00B20E4A" w:rsidP="00B20E4A">
            <w:pPr>
              <w:pStyle w:val="Bodytext"/>
            </w:pPr>
          </w:p>
        </w:tc>
      </w:tr>
      <w:tr w:rsidR="00B20E4A" w:rsidRPr="004E776C" w14:paraId="4D4DB673" w14:textId="77777777" w:rsidTr="004E776C">
        <w:tc>
          <w:tcPr>
            <w:tcW w:w="10490" w:type="dxa"/>
            <w:gridSpan w:val="2"/>
            <w:shd w:val="clear" w:color="auto" w:fill="auto"/>
          </w:tcPr>
          <w:p w14:paraId="384F17B8" w14:textId="77777777" w:rsidR="00B20E4A" w:rsidRPr="00B20E4A" w:rsidRDefault="00B20E4A" w:rsidP="004E776C">
            <w:pPr>
              <w:pStyle w:val="HeadingA"/>
            </w:pPr>
            <w:r>
              <w:t>Apelio yn erbyn eich statws</w:t>
            </w:r>
          </w:p>
        </w:tc>
      </w:tr>
      <w:tr w:rsidR="00F0446F" w:rsidRPr="004E776C" w14:paraId="6F5FCB61" w14:textId="77777777" w:rsidTr="004E776C">
        <w:tc>
          <w:tcPr>
            <w:tcW w:w="8613" w:type="dxa"/>
            <w:shd w:val="clear" w:color="auto" w:fill="auto"/>
          </w:tcPr>
          <w:p w14:paraId="395D33FE" w14:textId="77777777" w:rsidR="004E776C" w:rsidRPr="00B20E4A" w:rsidRDefault="004E776C" w:rsidP="00B20E4A">
            <w:pPr>
              <w:pStyle w:val="Bodytext"/>
            </w:pPr>
            <w:r>
              <w:t>Mae’ch statws yn dibynnu ar y manylion cyfeiriad sydd gan CThEM. Os yw’r manylion hyn yn gywir ac, o ganlyniad, rydych yn bodloni’r meini prawf a nodwyd mewn deddfwriaeth (Deddf Cymru 2014), ni chewch apelio yn erbyn y statws a bennwyd gan CThEM.</w:t>
            </w:r>
          </w:p>
        </w:tc>
        <w:tc>
          <w:tcPr>
            <w:tcW w:w="1877" w:type="dxa"/>
            <w:shd w:val="clear" w:color="auto" w:fill="auto"/>
          </w:tcPr>
          <w:p w14:paraId="47A0656C" w14:textId="77777777" w:rsidR="004E776C" w:rsidRPr="004E776C" w:rsidRDefault="004E776C" w:rsidP="00745023">
            <w:pPr>
              <w:pStyle w:val="Bodytext"/>
              <w:rPr>
                <w:sz w:val="10"/>
                <w:szCs w:val="10"/>
              </w:rPr>
            </w:pPr>
          </w:p>
        </w:tc>
      </w:tr>
      <w:tr w:rsidR="00F0446F" w:rsidRPr="004E776C" w14:paraId="2914399D" w14:textId="77777777" w:rsidTr="004E776C">
        <w:tc>
          <w:tcPr>
            <w:tcW w:w="10490" w:type="dxa"/>
            <w:gridSpan w:val="2"/>
            <w:shd w:val="clear" w:color="auto" w:fill="auto"/>
          </w:tcPr>
          <w:p w14:paraId="490A3EB3" w14:textId="77777777" w:rsidR="004E776C" w:rsidRPr="0010756C" w:rsidRDefault="004E776C" w:rsidP="004E776C">
            <w:pPr>
              <w:pStyle w:val="HeadingA"/>
            </w:pPr>
            <w:r>
              <w:t>Sut y caiff cyfraddau Treth Incwm Cymru eu cyfrifo</w:t>
            </w:r>
          </w:p>
        </w:tc>
      </w:tr>
      <w:tr w:rsidR="00F0446F" w:rsidRPr="004E776C" w14:paraId="1F419A1C" w14:textId="77777777" w:rsidTr="004E776C">
        <w:tc>
          <w:tcPr>
            <w:tcW w:w="8613" w:type="dxa"/>
            <w:shd w:val="clear" w:color="auto" w:fill="auto"/>
          </w:tcPr>
          <w:p w14:paraId="07F2F4AF" w14:textId="77777777" w:rsidR="004E776C" w:rsidRDefault="004E776C" w:rsidP="00745023">
            <w:pPr>
              <w:pStyle w:val="Bodytext"/>
            </w:pPr>
            <w:r>
              <w:t>Bydd Llywodraeth y DU yn gostwng gan 10c y cyfraddau sylfaenol, uwch ac ychwanegol o Dreth Incwm a delir gan drethdalwyr Cymreig.</w:t>
            </w:r>
          </w:p>
          <w:p w14:paraId="0EA19D57" w14:textId="77777777" w:rsidR="004E776C" w:rsidRDefault="004E776C" w:rsidP="00745023">
            <w:pPr>
              <w:pStyle w:val="Bodytext"/>
            </w:pPr>
            <w:r>
              <w:t>Yna, bydd Llywodraeth Cymru yn pennu’r tair cyfradd o gyfraddau Treth Incwm Cymru ac, ar ôl i Gynulliad Cenedlaethol Cymru eu cymeradwyo, cânt eu hychwanegu at gyfraddau gostyngol y DU.</w:t>
            </w:r>
          </w:p>
          <w:p w14:paraId="691DDC2F" w14:textId="77777777" w:rsidR="004E776C" w:rsidRPr="0010756C" w:rsidRDefault="004E776C" w:rsidP="00745023">
            <w:pPr>
              <w:pStyle w:val="Bodytext"/>
            </w:pPr>
            <w:r>
              <w:t>Bydd y cyfuniad o gyfraddau gostyngol y DU a chyfraddau Cymru yn pennu cyfradd gyflawn Treth Incwm a delir gan drethdalwyr Cymreig.</w:t>
            </w:r>
          </w:p>
        </w:tc>
        <w:tc>
          <w:tcPr>
            <w:tcW w:w="1877" w:type="dxa"/>
            <w:shd w:val="clear" w:color="auto" w:fill="auto"/>
          </w:tcPr>
          <w:p w14:paraId="3994DF26" w14:textId="77777777" w:rsidR="004E776C" w:rsidRPr="004E776C" w:rsidRDefault="004E776C" w:rsidP="00745023">
            <w:pPr>
              <w:pStyle w:val="Bodytext"/>
              <w:rPr>
                <w:sz w:val="10"/>
                <w:szCs w:val="10"/>
              </w:rPr>
            </w:pPr>
          </w:p>
        </w:tc>
      </w:tr>
      <w:tr w:rsidR="00F0446F" w:rsidRPr="004E776C" w14:paraId="54CDA6B2" w14:textId="77777777" w:rsidTr="004E776C">
        <w:tc>
          <w:tcPr>
            <w:tcW w:w="10490" w:type="dxa"/>
            <w:gridSpan w:val="2"/>
            <w:shd w:val="clear" w:color="auto" w:fill="auto"/>
          </w:tcPr>
          <w:p w14:paraId="32C1EDD4" w14:textId="77777777" w:rsidR="004E776C" w:rsidRPr="0010756C" w:rsidRDefault="004E776C" w:rsidP="004E776C">
            <w:pPr>
              <w:pStyle w:val="HeadingA"/>
            </w:pPr>
            <w:r>
              <w:t>Ble i fynd i gael rhagor o wybodaeth</w:t>
            </w:r>
          </w:p>
        </w:tc>
      </w:tr>
      <w:tr w:rsidR="00F0446F" w:rsidRPr="004E776C" w14:paraId="08830944" w14:textId="77777777" w:rsidTr="004E776C">
        <w:tc>
          <w:tcPr>
            <w:tcW w:w="8613" w:type="dxa"/>
            <w:shd w:val="clear" w:color="auto" w:fill="auto"/>
          </w:tcPr>
          <w:p w14:paraId="7080DBD8" w14:textId="77777777" w:rsidR="004E776C" w:rsidRPr="0083190F" w:rsidRDefault="004E776C" w:rsidP="0083190F">
            <w:pPr>
              <w:pStyle w:val="Bodytext"/>
            </w:pPr>
            <w:r>
              <w:t xml:space="preserve">I gael rhagor o wybodaeth am gyfraddau Treth Incwm Cymru, ewch i: </w:t>
            </w:r>
            <w:r>
              <w:br/>
              <w:t>www.gov.uk/treth-incwm-cymru</w:t>
            </w:r>
          </w:p>
          <w:p w14:paraId="1A7EDDDD" w14:textId="77777777" w:rsidR="004E776C" w:rsidRPr="0083190F" w:rsidRDefault="004E776C" w:rsidP="0083190F">
            <w:pPr>
              <w:pStyle w:val="Bodytext"/>
            </w:pPr>
            <w:r>
              <w:t>I gael rhagor o wybodaeth am y broses pennu cyfraddau, a chyllideb ddrafft Llywodraeth Cymru, ewch i: www.llyw.cymru/trethicymru</w:t>
            </w:r>
          </w:p>
          <w:p w14:paraId="243FDDFE" w14:textId="77777777" w:rsidR="004E776C" w:rsidRPr="0010756C" w:rsidRDefault="004E776C" w:rsidP="0083190F">
            <w:pPr>
              <w:pStyle w:val="Bodytext"/>
            </w:pPr>
            <w:r>
              <w:t>Gallwch gael rhagor o wybodaeth am y modd y caiff cod treth ei gyfrifo yn:</w:t>
            </w:r>
            <w:r>
              <w:br/>
            </w:r>
            <w:hyperlink r:id="rId13">
              <w:r>
                <w:rPr>
                  <w:rStyle w:val="Hyperlink"/>
                  <w:color w:val="auto"/>
                  <w:u w:val="none"/>
                </w:rPr>
                <w:t>www.gov.uk/tax-codes</w:t>
              </w:r>
            </w:hyperlink>
          </w:p>
        </w:tc>
        <w:tc>
          <w:tcPr>
            <w:tcW w:w="1877" w:type="dxa"/>
            <w:shd w:val="clear" w:color="auto" w:fill="auto"/>
          </w:tcPr>
          <w:p w14:paraId="4134252D" w14:textId="77777777" w:rsidR="004E776C" w:rsidRPr="004E776C" w:rsidRDefault="004E776C" w:rsidP="00745023">
            <w:pPr>
              <w:pStyle w:val="Bodytext"/>
              <w:rPr>
                <w:sz w:val="10"/>
                <w:szCs w:val="10"/>
              </w:rPr>
            </w:pPr>
          </w:p>
        </w:tc>
      </w:tr>
      <w:tr w:rsidR="00F0446F" w:rsidRPr="004E776C" w14:paraId="7B959D73" w14:textId="77777777" w:rsidTr="004E776C">
        <w:tc>
          <w:tcPr>
            <w:tcW w:w="10490" w:type="dxa"/>
            <w:gridSpan w:val="2"/>
            <w:shd w:val="clear" w:color="auto" w:fill="auto"/>
          </w:tcPr>
          <w:p w14:paraId="260727FB" w14:textId="77777777" w:rsidR="004E776C" w:rsidRPr="004E776C" w:rsidRDefault="004E776C" w:rsidP="00DD0AB7"/>
        </w:tc>
      </w:tr>
      <w:tr w:rsidR="00F0446F" w:rsidRPr="004E776C" w14:paraId="3073D938" w14:textId="77777777" w:rsidTr="004E776C">
        <w:tc>
          <w:tcPr>
            <w:tcW w:w="8613" w:type="dxa"/>
            <w:shd w:val="clear" w:color="auto" w:fill="auto"/>
          </w:tcPr>
          <w:p w14:paraId="35C639BE" w14:textId="77777777" w:rsidR="004E776C" w:rsidRPr="004E776C" w:rsidRDefault="004E776C" w:rsidP="00DD0AB7"/>
        </w:tc>
        <w:tc>
          <w:tcPr>
            <w:tcW w:w="1877" w:type="dxa"/>
            <w:shd w:val="clear" w:color="auto" w:fill="auto"/>
          </w:tcPr>
          <w:p w14:paraId="10A1F655" w14:textId="77777777" w:rsidR="004E776C" w:rsidRPr="004E776C" w:rsidRDefault="004E776C" w:rsidP="00DD0AB7"/>
        </w:tc>
      </w:tr>
    </w:tbl>
    <w:p w14:paraId="676117FA" w14:textId="77777777" w:rsidR="002846EC" w:rsidRDefault="002846EC" w:rsidP="00DD0AB7">
      <w:pPr>
        <w:pStyle w:val="Spacebeforetable"/>
      </w:pPr>
    </w:p>
    <w:sectPr w:rsidR="002846EC" w:rsidSect="004E776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84" w:right="624" w:bottom="567" w:left="851" w:header="0" w:footer="39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77560" w14:textId="77777777" w:rsidR="00A40B90" w:rsidRDefault="00A40B90" w:rsidP="004E776C">
      <w:r>
        <w:separator/>
      </w:r>
    </w:p>
  </w:endnote>
  <w:endnote w:type="continuationSeparator" w:id="0">
    <w:p w14:paraId="7248E946" w14:textId="77777777" w:rsidR="00A40B90" w:rsidRDefault="00A40B90" w:rsidP="004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3AAE" w14:textId="77777777" w:rsidR="00745023" w:rsidRDefault="00745023" w:rsidP="007450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B0CD6" w14:textId="77777777" w:rsidR="00745023" w:rsidRDefault="00745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282F6" w14:textId="77777777" w:rsidR="00745023" w:rsidRPr="00035E4B" w:rsidRDefault="00745023" w:rsidP="00745023">
    <w:pPr>
      <w:pStyle w:val="Footer"/>
      <w:tabs>
        <w:tab w:val="center" w:pos="5245"/>
      </w:tabs>
      <w:spacing w:before="240"/>
      <w:rPr>
        <w:sz w:val="16"/>
        <w:szCs w:val="16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7B1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2"/>
      <w:gridCol w:w="2774"/>
      <w:gridCol w:w="3544"/>
    </w:tblGrid>
    <w:tr w:rsidR="00745023" w:rsidRPr="00DD180E" w14:paraId="259F2DE8" w14:textId="77777777" w:rsidTr="00745023">
      <w:trPr>
        <w:cantSplit/>
        <w:trHeight w:hRule="exact" w:val="510"/>
      </w:trPr>
      <w:tc>
        <w:tcPr>
          <w:tcW w:w="4172" w:type="dxa"/>
          <w:vAlign w:val="bottom"/>
        </w:tcPr>
        <w:p w14:paraId="3C5B9D16" w14:textId="5012A49A" w:rsidR="00745023" w:rsidRPr="00060730" w:rsidRDefault="00745023" w:rsidP="00F561C5">
          <w:pPr>
            <w:pStyle w:val="Footer"/>
            <w:tabs>
              <w:tab w:val="left" w:pos="0"/>
              <w:tab w:val="right" w:pos="4025"/>
            </w:tabs>
            <w:spacing w:after="40"/>
            <w:rPr>
              <w:sz w:val="16"/>
              <w:szCs w:val="16"/>
            </w:rPr>
          </w:pPr>
          <w:r>
            <w:rPr>
              <w:b/>
              <w:sz w:val="16"/>
            </w:rPr>
            <w:t xml:space="preserve">CTIC TWE </w:t>
          </w:r>
          <w:r w:rsidR="00F561C5">
            <w:rPr>
              <w:b/>
              <w:sz w:val="16"/>
            </w:rPr>
            <w:t>TW</w:t>
          </w:r>
          <w:r>
            <w:rPr>
              <w:b/>
              <w:sz w:val="16"/>
            </w:rPr>
            <w:t>1</w:t>
          </w:r>
        </w:p>
      </w:tc>
      <w:tc>
        <w:tcPr>
          <w:tcW w:w="2774" w:type="dxa"/>
          <w:tcBorders>
            <w:left w:val="nil"/>
          </w:tcBorders>
          <w:vAlign w:val="bottom"/>
        </w:tcPr>
        <w:p w14:paraId="21A62611" w14:textId="77777777" w:rsidR="00745023" w:rsidRPr="00060730" w:rsidRDefault="00745023" w:rsidP="00745023">
          <w:pPr>
            <w:pStyle w:val="Footer"/>
            <w:tabs>
              <w:tab w:val="left" w:pos="0"/>
              <w:tab w:val="center" w:pos="1073"/>
            </w:tabs>
            <w:spacing w:after="40"/>
          </w:pPr>
          <w: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47B1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544" w:type="dxa"/>
          <w:tcBorders>
            <w:left w:val="nil"/>
          </w:tcBorders>
          <w:vAlign w:val="bottom"/>
        </w:tcPr>
        <w:p w14:paraId="7E0F222E" w14:textId="77777777" w:rsidR="00745023" w:rsidRPr="008E4E26" w:rsidRDefault="00745023" w:rsidP="00745023">
          <w:pPr>
            <w:pStyle w:val="Footer"/>
            <w:tabs>
              <w:tab w:val="left" w:pos="0"/>
              <w:tab w:val="center" w:pos="1073"/>
            </w:tabs>
            <w:spacing w:after="40"/>
            <w:jc w:val="right"/>
            <w:rPr>
              <w:sz w:val="16"/>
              <w:szCs w:val="16"/>
            </w:rPr>
          </w:pPr>
          <w:r>
            <w:rPr>
              <w:sz w:val="16"/>
            </w:rPr>
            <w:t>CThEM 11/18</w:t>
          </w:r>
        </w:p>
      </w:tc>
    </w:tr>
  </w:tbl>
  <w:p w14:paraId="66B0E609" w14:textId="77777777" w:rsidR="00745023" w:rsidRPr="00A83323" w:rsidRDefault="00745023" w:rsidP="00745023">
    <w:pPr>
      <w:pStyle w:val="Footer"/>
      <w:rPr>
        <w:color w:val="FFFFFF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9A46" w14:textId="77777777" w:rsidR="00A40B90" w:rsidRDefault="00A40B90" w:rsidP="004E776C">
      <w:r>
        <w:separator/>
      </w:r>
    </w:p>
  </w:footnote>
  <w:footnote w:type="continuationSeparator" w:id="0">
    <w:p w14:paraId="76D73FD7" w14:textId="77777777" w:rsidR="00A40B90" w:rsidRDefault="00A40B90" w:rsidP="004E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F4703" w14:textId="77777777" w:rsidR="00745023" w:rsidRPr="0031353C" w:rsidRDefault="00745023" w:rsidP="00745023">
    <w:pPr>
      <w:spacing w:after="72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78F34" w14:textId="77777777" w:rsidR="00745023" w:rsidRDefault="00745023" w:rsidP="00745023">
    <w:pPr>
      <w:spacing w:after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04746"/>
    <w:multiLevelType w:val="multilevel"/>
    <w:tmpl w:val="9C3656D8"/>
    <w:styleLink w:val="BulletlistSEES"/>
    <w:lvl w:ilvl="0">
      <w:start w:val="1"/>
      <w:numFmt w:val="bullet"/>
      <w:pStyle w:val="Bullettex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454" w:hanging="227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681" w:hanging="227"/>
      </w:pPr>
      <w:rPr>
        <w:rFonts w:ascii="Symbol" w:hAnsi="Symbol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510"/>
        </w:tabs>
        <w:ind w:left="908" w:hanging="227"/>
      </w:pPr>
      <w:rPr>
        <w:rFonts w:ascii="Symbol" w:hAnsi="Symbol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1135" w:hanging="227"/>
      </w:pPr>
      <w:rPr>
        <w:rFonts w:ascii="Symbol" w:hAnsi="Symbo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1362" w:hanging="227"/>
      </w:pPr>
      <w:rPr>
        <w:rFonts w:ascii="Symbol" w:hAnsi="Symbol" w:hint="default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1589" w:hanging="22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1816" w:hanging="22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204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C"/>
    <w:rsid w:val="000250CC"/>
    <w:rsid w:val="00055687"/>
    <w:rsid w:val="00104210"/>
    <w:rsid w:val="002846EC"/>
    <w:rsid w:val="002C46D9"/>
    <w:rsid w:val="00347B17"/>
    <w:rsid w:val="004E776C"/>
    <w:rsid w:val="005B6026"/>
    <w:rsid w:val="006E774E"/>
    <w:rsid w:val="00745023"/>
    <w:rsid w:val="0083190F"/>
    <w:rsid w:val="0090292C"/>
    <w:rsid w:val="009260C9"/>
    <w:rsid w:val="00A40B90"/>
    <w:rsid w:val="00A71958"/>
    <w:rsid w:val="00B20E4A"/>
    <w:rsid w:val="00B30E64"/>
    <w:rsid w:val="00B701FF"/>
    <w:rsid w:val="00D320EC"/>
    <w:rsid w:val="00DD0AB7"/>
    <w:rsid w:val="00DD5482"/>
    <w:rsid w:val="00E21FFC"/>
    <w:rsid w:val="00EB31EA"/>
    <w:rsid w:val="00F0446F"/>
    <w:rsid w:val="00F561C5"/>
    <w:rsid w:val="00F56A30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AD04"/>
  <w15:chartTrackingRefBased/>
  <w15:docId w15:val="{005CC45C-8074-4B94-8082-7959782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y-GB" w:eastAsia="cy-GB" w:bidi="cy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20E4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psheetheading">
    <w:name w:val="Helpsheet heading"/>
    <w:rsid w:val="00F56A30"/>
    <w:pPr>
      <w:spacing w:before="240" w:after="240"/>
    </w:pPr>
    <w:rPr>
      <w:rFonts w:ascii="Arial" w:eastAsia="Times New Roman" w:hAnsi="Arial"/>
      <w:sz w:val="46"/>
      <w:szCs w:val="46"/>
    </w:rPr>
  </w:style>
  <w:style w:type="paragraph" w:styleId="Footer">
    <w:name w:val="footer"/>
    <w:basedOn w:val="Normal"/>
    <w:link w:val="FooterChar"/>
    <w:rsid w:val="004E7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E776C"/>
    <w:rPr>
      <w:rFonts w:ascii="Arial" w:eastAsia="Calibri" w:hAnsi="Arial" w:cs="Times New Roman"/>
      <w:sz w:val="20"/>
      <w:szCs w:val="20"/>
    </w:rPr>
  </w:style>
  <w:style w:type="character" w:styleId="Hyperlink">
    <w:name w:val="Hyperlink"/>
    <w:uiPriority w:val="99"/>
    <w:rsid w:val="004E776C"/>
    <w:rPr>
      <w:color w:val="0000FF"/>
      <w:u w:val="single"/>
    </w:rPr>
  </w:style>
  <w:style w:type="character" w:styleId="PageNumber">
    <w:name w:val="page number"/>
    <w:rsid w:val="004E776C"/>
  </w:style>
  <w:style w:type="paragraph" w:customStyle="1" w:styleId="Bodytext">
    <w:name w:val="Bodytext"/>
    <w:link w:val="BodytextChar"/>
    <w:qFormat/>
    <w:rsid w:val="00B20E4A"/>
    <w:pPr>
      <w:spacing w:before="120"/>
    </w:pPr>
    <w:rPr>
      <w:rFonts w:ascii="Arial" w:eastAsia="Times New Roman" w:hAnsi="Arial"/>
      <w:sz w:val="24"/>
    </w:rPr>
  </w:style>
  <w:style w:type="numbering" w:customStyle="1" w:styleId="BulletlistSEES">
    <w:name w:val="Bullet list SEES"/>
    <w:semiHidden/>
    <w:rsid w:val="004E776C"/>
    <w:pPr>
      <w:numPr>
        <w:numId w:val="1"/>
      </w:numPr>
    </w:pPr>
  </w:style>
  <w:style w:type="paragraph" w:customStyle="1" w:styleId="Bullettext">
    <w:name w:val="Bullet text"/>
    <w:basedOn w:val="Bodytext"/>
    <w:qFormat/>
    <w:rsid w:val="00B701FF"/>
    <w:pPr>
      <w:keepLines/>
      <w:numPr>
        <w:numId w:val="1"/>
      </w:numPr>
      <w:tabs>
        <w:tab w:val="num" w:pos="360"/>
      </w:tabs>
      <w:spacing w:before="0" w:after="20"/>
      <w:ind w:left="0" w:firstLine="0"/>
    </w:pPr>
  </w:style>
  <w:style w:type="table" w:styleId="TableGrid">
    <w:name w:val="Table Grid"/>
    <w:basedOn w:val="TableNormal"/>
    <w:rsid w:val="004E77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1line">
    <w:name w:val="Form title 1 line"/>
    <w:rsid w:val="004E776C"/>
    <w:pPr>
      <w:spacing w:after="100" w:afterAutospacing="1"/>
      <w:jc w:val="right"/>
    </w:pPr>
    <w:rPr>
      <w:rFonts w:ascii="Arial" w:eastAsia="Times New Roman" w:hAnsi="Arial"/>
      <w:b/>
      <w:sz w:val="40"/>
      <w:szCs w:val="32"/>
    </w:rPr>
  </w:style>
  <w:style w:type="paragraph" w:customStyle="1" w:styleId="Panelheading">
    <w:name w:val="Panel heading"/>
    <w:next w:val="Normal"/>
    <w:qFormat/>
    <w:rsid w:val="004E776C"/>
    <w:pPr>
      <w:keepNext/>
      <w:spacing w:before="240"/>
    </w:pPr>
    <w:rPr>
      <w:rFonts w:ascii="Arial" w:eastAsia="Times New Roman" w:hAnsi="Arial"/>
      <w:b/>
      <w:sz w:val="24"/>
      <w:szCs w:val="26"/>
    </w:rPr>
  </w:style>
  <w:style w:type="paragraph" w:customStyle="1" w:styleId="HeadingA">
    <w:name w:val="Heading A"/>
    <w:next w:val="Normal"/>
    <w:link w:val="HeadingAChar"/>
    <w:qFormat/>
    <w:rsid w:val="004E776C"/>
    <w:pPr>
      <w:keepNext/>
      <w:pBdr>
        <w:top w:val="single" w:sz="18" w:space="1" w:color="auto"/>
      </w:pBdr>
      <w:spacing w:before="300"/>
      <w:ind w:right="57"/>
    </w:pPr>
    <w:rPr>
      <w:rFonts w:ascii="Arial" w:eastAsia="Times New Roman" w:hAnsi="Arial"/>
      <w:b/>
      <w:sz w:val="28"/>
      <w:szCs w:val="28"/>
    </w:rPr>
  </w:style>
  <w:style w:type="paragraph" w:customStyle="1" w:styleId="HeadingAnorule">
    <w:name w:val="Heading A (no rule)"/>
    <w:next w:val="Normal"/>
    <w:qFormat/>
    <w:rsid w:val="004E776C"/>
    <w:pPr>
      <w:keepNext/>
      <w:spacing w:before="240"/>
    </w:pPr>
    <w:rPr>
      <w:rFonts w:ascii="Arial" w:eastAsia="Times New Roman" w:hAnsi="Arial"/>
      <w:b/>
      <w:sz w:val="28"/>
      <w:szCs w:val="28"/>
    </w:rPr>
  </w:style>
  <w:style w:type="paragraph" w:customStyle="1" w:styleId="QuestiontextIfyes">
    <w:name w:val="Question text /  If yes"/>
    <w:qFormat/>
    <w:rsid w:val="004E776C"/>
    <w:pPr>
      <w:spacing w:before="120"/>
    </w:pPr>
    <w:rPr>
      <w:rFonts w:ascii="Arial" w:eastAsia="Times New Roman" w:hAnsi="Arial"/>
      <w:sz w:val="18"/>
    </w:rPr>
  </w:style>
  <w:style w:type="paragraph" w:customStyle="1" w:styleId="Spacebeforetable">
    <w:name w:val="Space before table"/>
    <w:qFormat/>
    <w:rsid w:val="004E776C"/>
    <w:rPr>
      <w:rFonts w:ascii="Arial" w:eastAsia="Times New Roman" w:hAnsi="Arial"/>
      <w:sz w:val="10"/>
      <w:szCs w:val="10"/>
    </w:rPr>
  </w:style>
  <w:style w:type="character" w:customStyle="1" w:styleId="BodytextChar">
    <w:name w:val="Bodytext Char"/>
    <w:link w:val="Bodytext"/>
    <w:rsid w:val="00B20E4A"/>
    <w:rPr>
      <w:rFonts w:ascii="Arial" w:eastAsia="Times New Roman" w:hAnsi="Arial"/>
      <w:sz w:val="24"/>
    </w:rPr>
  </w:style>
  <w:style w:type="character" w:customStyle="1" w:styleId="HeadingAChar">
    <w:name w:val="Heading A Char"/>
    <w:link w:val="HeadingA"/>
    <w:rsid w:val="004E776C"/>
    <w:rPr>
      <w:rFonts w:ascii="Arial" w:eastAsia="Times New Roman" w:hAnsi="Arial" w:cs="Times New Roman"/>
      <w:b/>
      <w:sz w:val="28"/>
      <w:szCs w:val="28"/>
      <w:lang w:eastAsia="cy-GB"/>
    </w:rPr>
  </w:style>
  <w:style w:type="paragraph" w:customStyle="1" w:styleId="Formheader">
    <w:name w:val="Form header"/>
    <w:rsid w:val="004E776C"/>
    <w:rPr>
      <w:rFonts w:ascii="Arial" w:eastAsia="Times New Roman" w:hAnsi="Arial"/>
      <w:b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4E77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776C"/>
    <w:rPr>
      <w:rFonts w:ascii="Arial" w:eastAsia="Calibri" w:hAnsi="Arial" w:cs="Times New Roman"/>
      <w:sz w:val="20"/>
      <w:szCs w:val="20"/>
    </w:rPr>
  </w:style>
  <w:style w:type="paragraph" w:customStyle="1" w:styleId="HeadingB">
    <w:name w:val="Heading B"/>
    <w:basedOn w:val="HeadingAnorule"/>
    <w:rsid w:val="00F0446F"/>
    <w:pPr>
      <w:spacing w:before="120"/>
    </w:pPr>
    <w:rPr>
      <w:rFonts w:eastAsia="Calibri"/>
      <w:b w:val="0"/>
    </w:rPr>
  </w:style>
  <w:style w:type="paragraph" w:customStyle="1" w:styleId="PanelBodytext">
    <w:name w:val="Panel Bodytext"/>
    <w:rsid w:val="00EB31EA"/>
    <w:pPr>
      <w:spacing w:before="12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71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9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9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95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v.uk/tax-code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lyw.cymru/trethicym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uk/treth-incwm-cym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uk/rhoi-gwybod-i-cthem-newid-manyl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4BFC-ADC1-40F5-8D1D-B075F10F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4425</CharactersWithSpaces>
  <SharedDoc>false</SharedDoc>
  <HLinks>
    <vt:vector size="24" baseType="variant">
      <vt:variant>
        <vt:i4>2490481</vt:i4>
      </vt:variant>
      <vt:variant>
        <vt:i4>9</vt:i4>
      </vt:variant>
      <vt:variant>
        <vt:i4>0</vt:i4>
      </vt:variant>
      <vt:variant>
        <vt:i4>5</vt:i4>
      </vt:variant>
      <vt:variant>
        <vt:lpwstr>http://www.gov.uk/tax-codes</vt:lpwstr>
      </vt:variant>
      <vt:variant>
        <vt:lpwstr/>
      </vt:variant>
      <vt:variant>
        <vt:i4>2424864</vt:i4>
      </vt:variant>
      <vt:variant>
        <vt:i4>6</vt:i4>
      </vt:variant>
      <vt:variant>
        <vt:i4>0</vt:i4>
      </vt:variant>
      <vt:variant>
        <vt:i4>5</vt:i4>
      </vt:variant>
      <vt:variant>
        <vt:lpwstr>http://www.gov.wales/welshtaxes</vt:lpwstr>
      </vt:variant>
      <vt:variant>
        <vt:lpwstr/>
      </vt:variant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http://www.gov.uk/welsh-income-tax</vt:lpwstr>
      </vt:variant>
      <vt:variant>
        <vt:lpwstr/>
      </vt:variant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http://www.gov.uk/tell-hmrc-change-of-details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Brian (CDIO)</dc:creator>
  <cp:keywords/>
  <dc:description/>
  <cp:lastModifiedBy>Hadley, Jill (PDC Transformation)</cp:lastModifiedBy>
  <cp:revision>2</cp:revision>
  <dcterms:created xsi:type="dcterms:W3CDTF">2018-11-27T10:19:00Z</dcterms:created>
  <dcterms:modified xsi:type="dcterms:W3CDTF">2018-11-27T10:19:00Z</dcterms:modified>
</cp:coreProperties>
</file>