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50" w:rsidRDefault="00BF576B">
      <w:pPr>
        <w:rPr>
          <w:rFonts w:asciiTheme="minorEastAsia" w:hAnsiTheme="minorEastAsia" w:cs="SimSun"/>
          <w:b/>
          <w:color w:val="222222"/>
          <w:lang w:eastAsia="zh-TW"/>
        </w:rPr>
      </w:pPr>
      <w:r w:rsidRPr="00C53C90">
        <w:rPr>
          <w:rFonts w:asciiTheme="minorEastAsia" w:hAnsiTheme="minorEastAsia" w:hint="eastAsia"/>
          <w:b/>
          <w:lang w:eastAsia="zh-CN"/>
        </w:rPr>
        <w:t>危機</w:t>
      </w:r>
      <w:r w:rsidRPr="00D60BC5">
        <w:rPr>
          <w:rFonts w:asciiTheme="minorEastAsia" w:hAnsiTheme="minorEastAsia" w:hint="eastAsia"/>
          <w:b/>
          <w:lang w:eastAsia="zh-TW"/>
        </w:rPr>
        <w:t>應對的建議</w:t>
      </w:r>
      <w:r w:rsidRPr="00D60BC5">
        <w:rPr>
          <w:rFonts w:asciiTheme="minorEastAsia" w:hAnsiTheme="minorEastAsia" w:cs="SimSun" w:hint="eastAsia"/>
          <w:b/>
          <w:color w:val="222222"/>
          <w:lang w:eastAsia="zh-TW"/>
        </w:rPr>
        <w:t>清單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978"/>
        <w:gridCol w:w="5760"/>
      </w:tblGrid>
      <w:tr w:rsidR="00BF576B" w:rsidTr="005F49E3">
        <w:tc>
          <w:tcPr>
            <w:tcW w:w="9738" w:type="dxa"/>
            <w:gridSpan w:val="2"/>
          </w:tcPr>
          <w:p w:rsidR="00BF576B" w:rsidRDefault="00BF576B">
            <w:pPr>
              <w:rPr>
                <w:lang w:eastAsia="zh-TW"/>
              </w:rPr>
            </w:pPr>
            <w:r w:rsidRPr="000F64CC">
              <w:rPr>
                <w:rFonts w:asciiTheme="minorEastAsia" w:hAnsiTheme="minorEastAsia" w:cs="Courier New"/>
                <w:b/>
                <w:color w:val="222222"/>
                <w:lang w:eastAsia="zh-TW"/>
              </w:rPr>
              <w:t>ACT：</w:t>
            </w:r>
            <w:r w:rsidRPr="000F64CC">
              <w:rPr>
                <w:rFonts w:asciiTheme="minorEastAsia" w:hAnsiTheme="minorEastAsia" w:cs="MS Gothic" w:hint="eastAsia"/>
                <w:b/>
                <w:color w:val="222222"/>
                <w:lang w:eastAsia="zh-TW"/>
              </w:rPr>
              <w:t>策劃應對措施</w:t>
            </w:r>
            <w:r w:rsidRPr="000F64CC">
              <w:rPr>
                <w:rFonts w:asciiTheme="minorEastAsia" w:hAnsiTheme="minorEastAsia" w:cs="SimSun" w:hint="eastAsia"/>
                <w:b/>
                <w:color w:val="222222"/>
                <w:lang w:eastAsia="zh-TW"/>
              </w:rPr>
              <w:t>，</w:t>
            </w:r>
            <w:r w:rsidRPr="000F64CC">
              <w:rPr>
                <w:rFonts w:asciiTheme="minorEastAsia" w:hAnsiTheme="minorEastAsia" w:cs="MS Gothic" w:hint="eastAsia"/>
                <w:b/>
                <w:color w:val="222222"/>
                <w:lang w:eastAsia="zh-TW"/>
              </w:rPr>
              <w:t>以可持續的方式應對</w:t>
            </w:r>
          </w:p>
        </w:tc>
      </w:tr>
      <w:tr w:rsidR="00BF576B" w:rsidTr="005F49E3">
        <w:tc>
          <w:tcPr>
            <w:tcW w:w="3978" w:type="dxa"/>
          </w:tcPr>
          <w:p w:rsidR="00BF576B" w:rsidRPr="000F64CC" w:rsidRDefault="00BF576B" w:rsidP="005F49E3">
            <w:pPr>
              <w:ind w:left="360" w:hanging="360"/>
              <w:rPr>
                <w:rFonts w:asciiTheme="minorEastAsia" w:hAnsiTheme="minorEastAsia" w:cs="Courier New"/>
                <w:b/>
                <w:color w:val="222222"/>
                <w:lang w:eastAsia="zh-TW"/>
              </w:rPr>
            </w:pPr>
            <w:r>
              <w:rPr>
                <w:rFonts w:asciiTheme="minorEastAsia" w:hAnsiTheme="minorEastAsia" w:cs="Times New Roman"/>
                <w:color w:val="222222"/>
                <w:lang w:eastAsia="zh-TW"/>
              </w:rPr>
              <w:t>1.</w:t>
            </w:r>
            <w:r w:rsidR="005F49E3">
              <w:rPr>
                <w:rFonts w:asciiTheme="minorEastAsia" w:hAnsiTheme="minorEastAsia" w:cs="Times New Roman"/>
                <w:color w:val="222222"/>
                <w:lang w:eastAsia="zh-TW"/>
              </w:rPr>
              <w:tab/>
              <w:t>“</w:t>
            </w:r>
            <w:r w:rsidRPr="00BF576B">
              <w:rPr>
                <w:rFonts w:asciiTheme="minorEastAsia" w:hAnsiTheme="minorEastAsia" w:cs="MS Gothic" w:hint="eastAsia"/>
                <w:color w:val="222222"/>
                <w:lang w:eastAsia="zh-TW"/>
              </w:rPr>
              <w:t>以人為本</w:t>
            </w:r>
            <w:r w:rsidRPr="00BF576B">
              <w:rPr>
                <w:rFonts w:asciiTheme="minorEastAsia" w:hAnsiTheme="minorEastAsia" w:cs="Times New Roman"/>
                <w:color w:val="222222"/>
                <w:lang w:eastAsia="zh-TW"/>
              </w:rPr>
              <w:t>”</w:t>
            </w:r>
          </w:p>
        </w:tc>
        <w:tc>
          <w:tcPr>
            <w:tcW w:w="5760" w:type="dxa"/>
          </w:tcPr>
          <w:p w:rsidR="00BF576B" w:rsidRPr="00D60BC5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優先考慮員工的安全和福祉</w:t>
            </w:r>
          </w:p>
          <w:p w:rsidR="00BF576B" w:rsidRPr="00D60BC5" w:rsidRDefault="00BF576B" w:rsidP="005F49E3">
            <w:pPr>
              <w:pStyle w:val="ListParagraph"/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確保有應對危機的相關政策，如有薪假、病假、遠程工作、健康與安全、薪酬等，並確保所有部門主管清楚相關資訊</w:t>
            </w:r>
          </w:p>
          <w:p w:rsidR="00BF576B" w:rsidRPr="00D60BC5" w:rsidRDefault="00BF576B" w:rsidP="005F49E3">
            <w:pPr>
              <w:pStyle w:val="ListParagraph"/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與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員工保持適當的溝通，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解釋企業如何應對危機並分享關鍵資訊</w:t>
            </w:r>
          </w:p>
          <w:p w:rsidR="00BF576B" w:rsidRPr="00D60BC5" w:rsidRDefault="00BF576B" w:rsidP="005F49E3">
            <w:pPr>
              <w:pStyle w:val="ListParagraph"/>
              <w:ind w:left="522" w:hanging="360"/>
              <w:rPr>
                <w:rFonts w:asciiTheme="minorEastAsia" w:hAnsiTheme="minor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Times New Roman" w:hint="eastAsia"/>
                <w:color w:val="222222"/>
                <w:lang w:eastAsia="zh-TW"/>
              </w:rPr>
              <w:t>企業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關鍵</w:t>
            </w:r>
            <w:r w:rsidRPr="00D60BC5">
              <w:rPr>
                <w:rFonts w:asciiTheme="minorEastAsia" w:hAnsiTheme="minorEastAsia" w:cs="Times New Roman" w:hint="eastAsia"/>
                <w:color w:val="222222"/>
                <w:lang w:eastAsia="zh-TW"/>
              </w:rPr>
              <w:t>的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角色和職責須明確，以便主要的活動能繼續進行</w:t>
            </w:r>
            <w:r w:rsidRPr="00D60BC5">
              <w:rPr>
                <w:rFonts w:asciiTheme="minorEastAsia" w:hAnsiTheme="minorEastAsia" w:hint="eastAsia"/>
                <w:color w:val="222222"/>
                <w:lang w:eastAsia="zh-TW"/>
              </w:rPr>
              <w:t xml:space="preserve"> </w:t>
            </w:r>
          </w:p>
          <w:p w:rsidR="00BF576B" w:rsidRPr="00D60BC5" w:rsidRDefault="00BF576B" w:rsidP="005F49E3">
            <w:pPr>
              <w:pStyle w:val="ListParagraph"/>
              <w:ind w:left="522" w:hanging="360"/>
              <w:rPr>
                <w:rFonts w:asciiTheme="minorEastAsia" w:hAnsiTheme="minor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考慮是否需要將人力資源重新調整或重新部署到業務的關鍵領域</w:t>
            </w:r>
          </w:p>
          <w:p w:rsidR="00BF576B" w:rsidRDefault="00BF576B" w:rsidP="005F49E3">
            <w:pPr>
              <w:ind w:left="522" w:hanging="360"/>
              <w:rPr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識別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HK"/>
              </w:rPr>
              <w:t>、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控制和減輕因危機而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產生的關鍵人員的風險</w:t>
            </w:r>
          </w:p>
        </w:tc>
      </w:tr>
      <w:tr w:rsidR="00BF576B" w:rsidTr="005F49E3">
        <w:tc>
          <w:tcPr>
            <w:tcW w:w="3978" w:type="dxa"/>
          </w:tcPr>
          <w:p w:rsidR="00BF576B" w:rsidRDefault="005F49E3" w:rsidP="005F49E3">
            <w:pPr>
              <w:ind w:left="360" w:hanging="360"/>
              <w:rPr>
                <w:rFonts w:asciiTheme="minorEastAsia" w:hAnsiTheme="minorEastAsia" w:cs="Times New Roman"/>
                <w:color w:val="222222"/>
                <w:lang w:eastAsia="zh-TW"/>
              </w:rPr>
            </w:pPr>
            <w:r>
              <w:rPr>
                <w:rFonts w:asciiTheme="minorEastAsia" w:hAnsiTheme="minorEastAsia" w:cs="MS Gothic"/>
                <w:color w:val="222222"/>
                <w:lang w:eastAsia="zh-TW"/>
              </w:rPr>
              <w:t>2.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聚焦短期</w:t>
            </w:r>
            <w:r w:rsidR="00BF576B" w:rsidRPr="00D60BC5">
              <w:rPr>
                <w:rFonts w:asciiTheme="minorEastAsia" w:hAnsiTheme="minorEastAsia" w:cs="MS Gothic"/>
                <w:color w:val="222222"/>
                <w:lang w:eastAsia="zh-TW"/>
              </w:rPr>
              <w:t>,</w:t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展示領導能力</w:t>
            </w:r>
          </w:p>
        </w:tc>
        <w:tc>
          <w:tcPr>
            <w:tcW w:w="5760" w:type="dxa"/>
          </w:tcPr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評估是否需要調整目標和成果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如何調整策略支援短期的改變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制定溝通計劃以確保企業的聲譽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與投資者定期溝通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確保企業的即時反應與企業文化一致</w:t>
            </w:r>
          </w:p>
          <w:p w:rsidR="00BF576B" w:rsidRPr="00D60BC5" w:rsidRDefault="00BF576B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確保遵守所有法律要求</w:t>
            </w:r>
          </w:p>
        </w:tc>
      </w:tr>
      <w:tr w:rsidR="00BF576B" w:rsidTr="005F49E3">
        <w:tc>
          <w:tcPr>
            <w:tcW w:w="3978" w:type="dxa"/>
          </w:tcPr>
          <w:p w:rsidR="00BF576B" w:rsidRDefault="005F49E3" w:rsidP="005F49E3">
            <w:pPr>
              <w:ind w:left="360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>
              <w:rPr>
                <w:rFonts w:asciiTheme="minorEastAsia" w:hAnsiTheme="minorEastAsia" w:cs="MS Gothic"/>
                <w:color w:val="222222"/>
                <w:lang w:eastAsia="zh-TW"/>
              </w:rPr>
              <w:t>3.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BF576B">
              <w:rPr>
                <w:rFonts w:asciiTheme="minorEastAsia" w:hAnsiTheme="minorEastAsia" w:cs="MS Gothic" w:hint="eastAsia"/>
                <w:color w:val="222222"/>
                <w:lang w:eastAsia="zh-TW"/>
              </w:rPr>
              <w:t>了解</w:t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客</w:t>
            </w:r>
            <w:r w:rsidR="00BF576B"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戶和</w:t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其他持份者</w:t>
            </w:r>
            <w:r w:rsidR="00BF576B"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的需求</w:t>
            </w:r>
          </w:p>
        </w:tc>
        <w:tc>
          <w:tcPr>
            <w:tcW w:w="5760" w:type="dxa"/>
          </w:tcPr>
          <w:p w:rsidR="00BF576B" w:rsidRDefault="00BF576B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檢視客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戶需求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的變化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模式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使用所有能掌握的客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戶數據以了解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近期趨勢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考慮採購策略是否需要更改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清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晰理解供應鏈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確保與客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戶和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其他持份者之間有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適當的法律保障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SimSun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評估客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戶營銷策略的相關性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戶的產品和服務交付管道是否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需要改變</w:t>
            </w:r>
          </w:p>
          <w:p w:rsidR="00BF576B" w:rsidRPr="00D60BC5" w:rsidRDefault="00BF576B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color w:val="222222"/>
                <w:lang w:eastAsia="zh-TW"/>
              </w:rPr>
              <w:t>評估客戶價格</w:t>
            </w:r>
          </w:p>
        </w:tc>
      </w:tr>
      <w:tr w:rsidR="00BF576B" w:rsidTr="005F49E3">
        <w:tc>
          <w:tcPr>
            <w:tcW w:w="3978" w:type="dxa"/>
          </w:tcPr>
          <w:p w:rsidR="00BF576B" w:rsidRDefault="00BF576B" w:rsidP="005F49E3">
            <w:pPr>
              <w:ind w:left="360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4.</w:t>
            </w:r>
            <w:r w:rsidR="005F49E3"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成立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危機管理小組制定應變計劃</w:t>
            </w:r>
          </w:p>
        </w:tc>
        <w:tc>
          <w:tcPr>
            <w:tcW w:w="5760" w:type="dxa"/>
          </w:tcPr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訂立清晰的</w:t>
            </w:r>
            <w:r w:rsidRPr="00D60BC5">
              <w:rPr>
                <w:rFonts w:asciiTheme="minorEastAsia" w:hAnsiTheme="minorEastAsia" w:hint="eastAsia"/>
                <w:color w:val="222222"/>
                <w:lang w:eastAsia="zh-TW"/>
              </w:rPr>
              <w:t>商業應變計畫，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並與相關人員溝通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對不同威脅的影響進行風險評估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了解主要供應商</w:t>
            </w:r>
            <w:r w:rsidRPr="00D60BC5">
              <w:rPr>
                <w:rFonts w:asciiTheme="minorEastAsia" w:hAnsiTheme="minorEastAsia"/>
                <w:color w:val="222222"/>
                <w:lang w:eastAsia="zh-TW"/>
              </w:rPr>
              <w:t>/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合作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廠商（例如</w:t>
            </w:r>
            <w:r w:rsidRPr="00D60BC5">
              <w:rPr>
                <w:rFonts w:asciiTheme="minorEastAsia" w:hAnsiTheme="minorEastAsia"/>
                <w:color w:val="222222"/>
                <w:lang w:eastAsia="zh-TW"/>
              </w:rPr>
              <w:t>IT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供應商）在業務連續性中的角色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制定更具彈性的業務計劃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清楚界定企業中各個角色和職責</w:t>
            </w:r>
            <w:r w:rsidRPr="00D60BC5">
              <w:rPr>
                <w:rFonts w:asciiTheme="minorEastAsia" w:hAnsiTheme="minorEastAsia" w:cstheme="minorHAnsi"/>
                <w:lang w:eastAsia="zh-TW"/>
              </w:rPr>
              <w:t>,</w:t>
            </w:r>
            <w:r>
              <w:rPr>
                <w:rFonts w:asciiTheme="minorEastAsia" w:hAnsiTheme="minorEastAsia" w:cstheme="minorHAnsi" w:hint="eastAsia"/>
                <w:lang w:eastAsia="zh-TW"/>
              </w:rPr>
              <w:t>並作記錄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評估技術</w:t>
            </w:r>
            <w:r w:rsidRPr="00D60BC5">
              <w:rPr>
                <w:rFonts w:asciiTheme="minorEastAsia" w:hAnsiTheme="minorEastAsia" w:cs="Arial"/>
                <w:color w:val="4D5156"/>
                <w:shd w:val="clear" w:color="auto" w:fill="FFFFFF"/>
                <w:lang w:eastAsia="zh-TW"/>
              </w:rPr>
              <w:t>恢</w:t>
            </w:r>
            <w:r w:rsidRPr="00D60BC5">
              <w:rPr>
                <w:rFonts w:asciiTheme="minorEastAsia" w:hAnsiTheme="minorEastAsia" w:cs="PMingLiU" w:hint="eastAsia"/>
                <w:color w:val="4D5156"/>
                <w:shd w:val="clear" w:color="auto" w:fill="FFFFFF"/>
                <w:lang w:eastAsia="zh-TW"/>
              </w:rPr>
              <w:t>復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計劃</w:t>
            </w:r>
          </w:p>
          <w:p w:rsidR="00BF576B" w:rsidRPr="00D60BC5" w:rsidRDefault="00BF576B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確保企業的數據安全</w:t>
            </w:r>
          </w:p>
        </w:tc>
      </w:tr>
      <w:tr w:rsidR="00BF576B" w:rsidTr="005F49E3">
        <w:tc>
          <w:tcPr>
            <w:tcW w:w="9738" w:type="dxa"/>
            <w:gridSpan w:val="2"/>
          </w:tcPr>
          <w:p w:rsidR="00BF576B" w:rsidRPr="00D60BC5" w:rsidRDefault="00BF576B" w:rsidP="005F49E3">
            <w:pPr>
              <w:rPr>
                <w:rFonts w:asciiTheme="minorEastAsia" w:hAnsiTheme="minorEastAsia" w:cstheme="minorHAnsi" w:hint="eastAsia"/>
                <w:lang w:eastAsia="zh-TW"/>
              </w:rPr>
            </w:pPr>
            <w:r w:rsidRPr="000F64CC">
              <w:rPr>
                <w:rFonts w:asciiTheme="minorEastAsia" w:hAnsiTheme="minorEastAsia" w:cs="MS Gothic"/>
                <w:b/>
                <w:color w:val="222222"/>
                <w:lang w:eastAsia="zh-TW"/>
              </w:rPr>
              <w:t>ANALYSIS：</w:t>
            </w:r>
            <w:r w:rsidRPr="000F64CC">
              <w:rPr>
                <w:rFonts w:asciiTheme="minorEastAsia" w:hAnsiTheme="minorEastAsia" w:cs="MS Gothic" w:hint="eastAsia"/>
                <w:b/>
                <w:color w:val="222222"/>
                <w:lang w:eastAsia="zh-TW"/>
              </w:rPr>
              <w:t>分析各種資訊以計劃不同的方案</w:t>
            </w:r>
          </w:p>
        </w:tc>
      </w:tr>
      <w:tr w:rsidR="00BF576B" w:rsidTr="005F49E3">
        <w:tc>
          <w:tcPr>
            <w:tcW w:w="3978" w:type="dxa"/>
          </w:tcPr>
          <w:p w:rsidR="00BF576B" w:rsidRPr="00D60BC5" w:rsidRDefault="005F49E3" w:rsidP="005F49E3">
            <w:pPr>
              <w:pStyle w:val="ListParagraph"/>
              <w:ind w:left="360" w:hanging="36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5.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作出情景分析並製定恢復業務計劃</w:t>
            </w:r>
          </w:p>
          <w:p w:rsidR="00BF576B" w:rsidRPr="000F64CC" w:rsidRDefault="00BF576B" w:rsidP="005F49E3">
            <w:pPr>
              <w:ind w:left="360" w:hanging="360"/>
              <w:rPr>
                <w:rFonts w:asciiTheme="minorEastAsia" w:hAnsiTheme="minorEastAsia" w:cs="MS Gothic"/>
                <w:b/>
                <w:color w:val="222222"/>
                <w:lang w:eastAsia="zh-TW"/>
              </w:rPr>
            </w:pPr>
          </w:p>
        </w:tc>
        <w:tc>
          <w:tcPr>
            <w:tcW w:w="5760" w:type="dxa"/>
          </w:tcPr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持續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評估不同的情景</w:t>
            </w:r>
          </w:p>
          <w:p w:rsidR="00BF576B" w:rsidRPr="00D60BC5" w:rsidRDefault="00BF576B" w:rsidP="005F49E3">
            <w:pPr>
              <w:pStyle w:val="ListParagraph"/>
              <w:ind w:left="522" w:hanging="360"/>
              <w:rPr>
                <w:rFonts w:asciiTheme="minorEastAsia" w:hAnsiTheme="minor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檢視情景分析中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假設，確保假設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合符現實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在情景設計中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明確識別</w:t>
            </w:r>
            <w:r w:rsidRPr="00D60BC5">
              <w:rPr>
                <w:rFonts w:asciiTheme="minorEastAsia" w:hAnsiTheme="minorEastAsia" w:cs="Times New Roman"/>
                <w:color w:val="222222"/>
                <w:lang w:eastAsia="zh-TW"/>
              </w:rPr>
              <w:t>“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以知未知數</w:t>
            </w:r>
            <w:r w:rsidRPr="00D60BC5">
              <w:rPr>
                <w:rFonts w:asciiTheme="minorEastAsia" w:hAnsiTheme="minorEastAsia" w:cs="Times New Roman"/>
                <w:color w:val="222222"/>
                <w:lang w:eastAsia="zh-TW"/>
              </w:rPr>
              <w:t>”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和風險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確保情景分析中使用可靠的數據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</w:t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在情景設計中有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清晰</w:t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的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角色和責任</w:t>
            </w:r>
          </w:p>
          <w:p w:rsidR="00BF576B" w:rsidRDefault="00BF576B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對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情景分析進行財務評估或預測，及其對資金流和融資的關係</w:t>
            </w:r>
          </w:p>
          <w:p w:rsidR="00BF576B" w:rsidRPr="00D60BC5" w:rsidRDefault="00BF576B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制定業務恢復計劃並了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解其對員工的影響</w:t>
            </w:r>
          </w:p>
        </w:tc>
      </w:tr>
      <w:tr w:rsidR="00BF576B" w:rsidTr="005F49E3">
        <w:tc>
          <w:tcPr>
            <w:tcW w:w="3978" w:type="dxa"/>
          </w:tcPr>
          <w:p w:rsidR="00BF576B" w:rsidRDefault="00BF576B" w:rsidP="005F49E3">
            <w:pPr>
              <w:pStyle w:val="ListParagraph"/>
              <w:ind w:left="360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lastRenderedPageBreak/>
              <w:t>6.</w:t>
            </w:r>
            <w:r w:rsidR="005F49E3"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檢視相關的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政府和財政政策</w:t>
            </w:r>
          </w:p>
        </w:tc>
        <w:tc>
          <w:tcPr>
            <w:tcW w:w="5760" w:type="dxa"/>
          </w:tcPr>
          <w:p w:rsidR="00BF576B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="00BF576B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 w:rsidR="00BF576B">
              <w:rPr>
                <w:rFonts w:asciiTheme="minorEastAsia" w:hAnsiTheme="minorEastAsia" w:cs="MS Gothic" w:hint="eastAsia"/>
                <w:color w:val="222222"/>
                <w:lang w:eastAsia="zh-TW"/>
              </w:rPr>
              <w:t>解主要的紓緩措施和政策</w:t>
            </w:r>
          </w:p>
          <w:p w:rsidR="00BF576B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建立一個流程以取得這些舉措及其更新</w:t>
            </w:r>
          </w:p>
          <w:p w:rsidR="00BF576B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將這些措施通知所有員工，以便他們清楚了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解相關的影響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制定計劃，為措施失效時作準備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保持與政府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有正式溝通管道以影響政策的制定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與貿易機構、專業團體和政府組織建立關係以表達意見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確保能適當處理因政府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措施帶來的新的法律風險</w:t>
            </w:r>
          </w:p>
          <w:p w:rsidR="00EE2A1F" w:rsidRPr="00D60BC5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了解特定政策的財務影響；如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稅收方面或僱員福利方面</w:t>
            </w:r>
          </w:p>
        </w:tc>
      </w:tr>
      <w:tr w:rsidR="00EE2A1F" w:rsidTr="005F49E3">
        <w:tc>
          <w:tcPr>
            <w:tcW w:w="3978" w:type="dxa"/>
          </w:tcPr>
          <w:p w:rsidR="00EE2A1F" w:rsidRDefault="00EE2A1F" w:rsidP="005F49E3">
            <w:pPr>
              <w:pStyle w:val="ListParagraph"/>
              <w:ind w:left="360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7.</w:t>
            </w:r>
            <w:r w:rsidR="005F49E3">
              <w:rPr>
                <w:rFonts w:asciiTheme="minorEastAsia" w:hAnsiTheme="minorEastAsia" w:cs="MS Gothic"/>
                <w:color w:val="222222"/>
                <w:lang w:eastAsia="zh-CN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流動資金是命</w:t>
            </w:r>
          </w:p>
        </w:tc>
        <w:tc>
          <w:tcPr>
            <w:tcW w:w="5760" w:type="dxa"/>
          </w:tcPr>
          <w:p w:rsidR="00EE2A1F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theme="minorHAnsi" w:hint="eastAsia"/>
                <w:lang w:eastAsia="zh-TW"/>
              </w:rPr>
              <w:t>要清楚現金情況和中短期的預測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確保企業的現金管理政策保持更新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查債務人和債權人的狀況以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解可能改善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現金流的機會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查資金管理策略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查出售不必要資產的機會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以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套取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現金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查企業的融資安排，以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確定如何利用這些安排在短期中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受惠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識別並管理閒置資金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查間接費用和支出以改善現金狀況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解貨幣和外匯對現金的影響</w:t>
            </w:r>
          </w:p>
          <w:p w:rsidR="00EE2A1F" w:rsidRPr="00D60BC5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查其他市場管道以重新評估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收入來源</w:t>
            </w:r>
          </w:p>
        </w:tc>
      </w:tr>
      <w:tr w:rsidR="00EE2A1F" w:rsidTr="005F49E3">
        <w:tc>
          <w:tcPr>
            <w:tcW w:w="9738" w:type="dxa"/>
            <w:gridSpan w:val="2"/>
          </w:tcPr>
          <w:p w:rsidR="00EE2A1F" w:rsidRPr="00D60BC5" w:rsidRDefault="00EE2A1F" w:rsidP="005F49E3">
            <w:pPr>
              <w:rPr>
                <w:rFonts w:asciiTheme="minorEastAsia" w:hAnsiTheme="minorEastAsia" w:cstheme="minorHAnsi" w:hint="eastAsia"/>
                <w:lang w:eastAsia="zh-TW"/>
              </w:rPr>
            </w:pPr>
            <w:r w:rsidRPr="000F64CC">
              <w:rPr>
                <w:rFonts w:asciiTheme="minorEastAsia" w:hAnsiTheme="minorEastAsia" w:cs="MS Gothic"/>
                <w:b/>
                <w:color w:val="222222"/>
                <w:lang w:eastAsia="zh-TW"/>
              </w:rPr>
              <w:t>ANTICIPATE：</w:t>
            </w:r>
            <w:r w:rsidRPr="000F64CC">
              <w:rPr>
                <w:rFonts w:asciiTheme="minorEastAsia" w:hAnsiTheme="minorEastAsia" w:cs="MS Gothic" w:hint="eastAsia"/>
                <w:b/>
                <w:color w:val="222222"/>
                <w:lang w:eastAsia="zh-TW"/>
              </w:rPr>
              <w:t>預測對業務的影響和未來趨勢</w:t>
            </w:r>
          </w:p>
        </w:tc>
      </w:tr>
      <w:tr w:rsidR="00EE2A1F" w:rsidTr="005F49E3">
        <w:tc>
          <w:tcPr>
            <w:tcW w:w="3978" w:type="dxa"/>
          </w:tcPr>
          <w:p w:rsidR="00EE2A1F" w:rsidRPr="000F64CC" w:rsidRDefault="005F49E3" w:rsidP="005F49E3">
            <w:pPr>
              <w:pStyle w:val="ListParagraph"/>
              <w:ind w:left="360" w:hanging="360"/>
              <w:rPr>
                <w:rFonts w:asciiTheme="minorEastAsia" w:hAnsiTheme="minorEastAsia" w:cs="MS Gothic"/>
                <w:b/>
                <w:color w:val="222222"/>
                <w:lang w:eastAsia="zh-TW"/>
              </w:rPr>
            </w:pPr>
            <w:r>
              <w:rPr>
                <w:rFonts w:asciiTheme="minorEastAsia" w:hAnsiTheme="minorEastAsia" w:cs="MS Gothic"/>
                <w:color w:val="222222"/>
                <w:lang w:eastAsia="zh-TW"/>
              </w:rPr>
              <w:t>8.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EE2A1F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尋找創新</w:t>
            </w:r>
            <w:bookmarkStart w:id="0" w:name="_GoBack"/>
            <w:r w:rsidR="00EE2A1F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的</w:t>
            </w:r>
            <w:bookmarkEnd w:id="0"/>
            <w:r w:rsidR="00EE2A1F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機會</w:t>
            </w:r>
          </w:p>
        </w:tc>
        <w:tc>
          <w:tcPr>
            <w:tcW w:w="5760" w:type="dxa"/>
          </w:tcPr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了解客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戶創新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可帶來的速效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查當前的業務營作，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解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危機中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可能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改善或提高效率或靈活性的地方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查如何以更靈活的方法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促進創新</w:t>
            </w:r>
            <w:r w:rsidRPr="00D60BC5">
              <w:rPr>
                <w:rFonts w:asciiTheme="minorEastAsia" w:hAnsiTheme="minorEastAsia" w:hint="eastAsia"/>
                <w:color w:val="222222"/>
                <w:lang w:eastAsia="zh-TW"/>
              </w:rPr>
              <w:t>，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如重新調整設施用途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解企業文化是否真正支持創新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確定員工分享創新想法的機會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檢討工作或學習方式，探索如何利用科技更好地支持這些方法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考慮與其他機構合作以擴大創新圈和分擔成本</w:t>
            </w:r>
          </w:p>
          <w:p w:rsidR="00EE2A1F" w:rsidRPr="00EE2A1F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查從其他企業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學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習創新</w:t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的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做法</w:t>
            </w:r>
          </w:p>
        </w:tc>
      </w:tr>
      <w:tr w:rsidR="00EE2A1F" w:rsidTr="005F49E3">
        <w:tc>
          <w:tcPr>
            <w:tcW w:w="3978" w:type="dxa"/>
          </w:tcPr>
          <w:p w:rsidR="00EE2A1F" w:rsidRDefault="005F49E3" w:rsidP="005F49E3">
            <w:pPr>
              <w:pStyle w:val="ListParagraph"/>
              <w:ind w:left="360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>
              <w:rPr>
                <w:rFonts w:asciiTheme="minorEastAsia" w:hAnsiTheme="minorEastAsia" w:cs="MS Gothic"/>
                <w:color w:val="222222"/>
                <w:lang w:eastAsia="zh-TW"/>
              </w:rPr>
              <w:t>9.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EE2A1F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檢討公司策略</w:t>
            </w:r>
          </w:p>
        </w:tc>
        <w:tc>
          <w:tcPr>
            <w:tcW w:w="5760" w:type="dxa"/>
          </w:tcPr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重新檢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查短期策略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評估長期策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略是否仍然適用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評估在財務上或運營上是否需要重新安排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檢</w:t>
            </w:r>
            <w:r>
              <w:rPr>
                <w:rFonts w:asciiTheme="minorEastAsia" w:hAnsiTheme="minorEastAsia" w:cs="SimSun" w:hint="eastAsia"/>
                <w:color w:val="222222"/>
                <w:lang w:eastAsia="zh-TW"/>
              </w:rPr>
              <w:t>查是否需要改變投資重點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確定並評估新的商業或服務機會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了解商業模式的改變帶來的法規，</w:t>
            </w:r>
            <w:r w:rsidRPr="00D60BC5">
              <w:rPr>
                <w:rFonts w:asciiTheme="minorEastAsia" w:hAnsiTheme="minorEastAsia" w:cs="SimSun" w:hint="eastAsia"/>
                <w:color w:val="222222"/>
                <w:lang w:eastAsia="zh-TW"/>
              </w:rPr>
              <w:t>稅收或法律的影響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SimSun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明確中期人力資源計劃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解企業的未來技能需求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評估企業是否在數字功能上有充分的投資</w:t>
            </w:r>
          </w:p>
          <w:p w:rsidR="00EE2A1F" w:rsidRPr="00D60BC5" w:rsidRDefault="00EE2A1F" w:rsidP="005F49E3">
            <w:pPr>
              <w:ind w:left="522" w:hanging="360"/>
              <w:rPr>
                <w:rFonts w:asciiTheme="minorEastAsia" w:hAnsiTheme="minorEastAsia" w:cstheme="minorHAnsi" w:hint="eastAsia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lastRenderedPageBreak/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評估市場競爭地位並了</w:t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解競爭對手的風險</w:t>
            </w:r>
          </w:p>
        </w:tc>
      </w:tr>
      <w:tr w:rsidR="00EE2A1F" w:rsidTr="005F49E3">
        <w:tc>
          <w:tcPr>
            <w:tcW w:w="3978" w:type="dxa"/>
          </w:tcPr>
          <w:p w:rsidR="00EE2A1F" w:rsidRDefault="005F49E3" w:rsidP="005F49E3">
            <w:pPr>
              <w:pStyle w:val="ListParagraph"/>
              <w:ind w:left="360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>
              <w:rPr>
                <w:rFonts w:asciiTheme="minorEastAsia" w:hAnsiTheme="minorEastAsia" w:cs="MS Gothic"/>
                <w:color w:val="222222"/>
                <w:lang w:eastAsia="zh-TW"/>
              </w:rPr>
              <w:lastRenderedPageBreak/>
              <w:t>10.</w:t>
            </w:r>
            <w:r>
              <w:rPr>
                <w:rFonts w:asciiTheme="minorEastAsia" w:hAnsiTheme="minorEastAsia" w:cs="MS Gothic"/>
                <w:color w:val="222222"/>
                <w:lang w:eastAsia="zh-TW"/>
              </w:rPr>
              <w:tab/>
            </w:r>
            <w:r w:rsidR="00EE2A1F"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基本業務風險依然存在</w:t>
            </w:r>
          </w:p>
        </w:tc>
        <w:tc>
          <w:tcPr>
            <w:tcW w:w="5760" w:type="dxa"/>
          </w:tcPr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評估當前風險管理策略的相關性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評估風險狀況是否已改</w:t>
            </w:r>
            <w:r w:rsidRPr="000F64CC">
              <w:rPr>
                <w:rFonts w:asciiTheme="minorEastAsia" w:hAnsiTheme="minorEastAsia" w:cs="MS Gothic" w:hint="eastAsia"/>
                <w:color w:val="222222"/>
                <w:lang w:eastAsia="zh-TW"/>
              </w:rPr>
              <w:t>變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評估從危機中汲取的經驗，為未來的風險提供管理方法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確定為應對危機而引入的新風險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確定新風險的適當緩解策略</w:t>
            </w:r>
          </w:p>
          <w:p w:rsidR="00EE2A1F" w:rsidRDefault="00EE2A1F" w:rsidP="005F49E3">
            <w:pPr>
              <w:ind w:left="522" w:hanging="360"/>
              <w:rPr>
                <w:rFonts w:asciiTheme="minorEastAsia" w:hAnsiTheme="minorEastAsia" w:cs="MS Gothic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>
              <w:rPr>
                <w:rFonts w:asciiTheme="minorEastAsia" w:hAnsiTheme="minorEastAsia" w:cs="MS Gothic" w:hint="eastAsia"/>
                <w:color w:val="222222"/>
                <w:lang w:eastAsia="zh-TW"/>
              </w:rPr>
              <w:t>明確溝通管道以進行報告新風險</w:t>
            </w:r>
          </w:p>
          <w:p w:rsidR="00EE2A1F" w:rsidRPr="00D60BC5" w:rsidRDefault="00EE2A1F" w:rsidP="005F49E3">
            <w:pPr>
              <w:ind w:left="522" w:hanging="360"/>
              <w:rPr>
                <w:rFonts w:asciiTheme="minorEastAsia" w:hAnsiTheme="minorEastAsia" w:cs="MS Gothic" w:hint="eastAsia"/>
                <w:color w:val="222222"/>
                <w:lang w:eastAsia="zh-TW"/>
              </w:rPr>
            </w:pPr>
            <w:r w:rsidRPr="00D60BC5">
              <w:rPr>
                <w:rFonts w:asciiTheme="minorEastAsia" w:hAnsiTheme="minorEastAsia" w:cstheme="minorHAnsi" w:hint="eastAsia"/>
                <w:lang w:eastAsia="zh-TW"/>
              </w:rPr>
              <w:t>□</w:t>
            </w:r>
            <w:r w:rsidR="005F49E3">
              <w:rPr>
                <w:rFonts w:asciiTheme="minorEastAsia" w:hAnsiTheme="minorEastAsia" w:cstheme="minorHAnsi"/>
                <w:lang w:eastAsia="zh-TW"/>
              </w:rPr>
              <w:tab/>
            </w:r>
            <w:r w:rsidRPr="00D60BC5">
              <w:rPr>
                <w:rFonts w:asciiTheme="minorEastAsia" w:hAnsiTheme="minorEastAsia" w:cs="MS Gothic" w:hint="eastAsia"/>
                <w:color w:val="222222"/>
                <w:lang w:eastAsia="zh-TW"/>
              </w:rPr>
              <w:t>評估當前的治理結構以確保它們是否合適</w:t>
            </w:r>
          </w:p>
        </w:tc>
      </w:tr>
    </w:tbl>
    <w:p w:rsidR="00BF576B" w:rsidRDefault="00BF576B">
      <w:pPr>
        <w:rPr>
          <w:lang w:eastAsia="zh-TW"/>
        </w:rPr>
      </w:pPr>
      <w:r>
        <w:rPr>
          <w:lang w:eastAsia="zh-TW"/>
        </w:rPr>
        <w:t xml:space="preserve"> </w:t>
      </w:r>
    </w:p>
    <w:sectPr w:rsidR="00BF5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D3DD1"/>
    <w:multiLevelType w:val="hybridMultilevel"/>
    <w:tmpl w:val="0450E0B8"/>
    <w:lvl w:ilvl="0" w:tplc="AED0E00E">
      <w:start w:val="5"/>
      <w:numFmt w:val="decimal"/>
      <w:lvlText w:val="%1."/>
      <w:lvlJc w:val="left"/>
      <w:pPr>
        <w:ind w:left="720" w:hanging="360"/>
      </w:pPr>
      <w:rPr>
        <w:rFonts w:cs="MS Gothic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C0140"/>
    <w:multiLevelType w:val="hybridMultilevel"/>
    <w:tmpl w:val="CA5C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6B"/>
    <w:rsid w:val="00550F50"/>
    <w:rsid w:val="005F49E3"/>
    <w:rsid w:val="00BF576B"/>
    <w:rsid w:val="00E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F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F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76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F5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F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F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76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F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Khao</dc:creator>
  <cp:lastModifiedBy>Sonia Khao</cp:lastModifiedBy>
  <cp:revision>1</cp:revision>
  <dcterms:created xsi:type="dcterms:W3CDTF">2020-05-08T10:06:00Z</dcterms:created>
  <dcterms:modified xsi:type="dcterms:W3CDTF">2020-05-08T10:33:00Z</dcterms:modified>
</cp:coreProperties>
</file>