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59" w:type="dxa"/>
        <w:tblLayout w:type="fixed"/>
        <w:tblLook w:val="04A0" w:firstRow="1" w:lastRow="0" w:firstColumn="1" w:lastColumn="0" w:noHBand="0" w:noVBand="1"/>
      </w:tblPr>
      <w:tblGrid>
        <w:gridCol w:w="5068"/>
        <w:gridCol w:w="886"/>
        <w:gridCol w:w="266"/>
        <w:gridCol w:w="156"/>
        <w:gridCol w:w="1192"/>
        <w:gridCol w:w="370"/>
        <w:gridCol w:w="82"/>
        <w:gridCol w:w="198"/>
        <w:gridCol w:w="1464"/>
        <w:gridCol w:w="241"/>
        <w:gridCol w:w="236"/>
      </w:tblGrid>
      <w:tr w:rsidR="00450938" w:rsidRPr="00EF34F1" w14:paraId="68EC244E" w14:textId="77777777" w:rsidTr="008F32D5">
        <w:trPr>
          <w:gridAfter w:val="1"/>
          <w:wAfter w:w="236" w:type="dxa"/>
          <w:trHeight w:val="465"/>
        </w:trPr>
        <w:tc>
          <w:tcPr>
            <w:tcW w:w="5068" w:type="dxa"/>
            <w:noWrap/>
            <w:hideMark/>
          </w:tcPr>
          <w:p w14:paraId="1916F522" w14:textId="77777777" w:rsidR="00450938" w:rsidRPr="009E215C" w:rsidRDefault="00450938">
            <w:pPr>
              <w:rPr>
                <w:rFonts w:ascii="Arial" w:hAnsi="Arial" w:cs="Arial"/>
                <w:sz w:val="20"/>
                <w:szCs w:val="20"/>
              </w:rPr>
            </w:pPr>
            <w:r w:rsidRPr="009E215C">
              <w:rPr>
                <w:rFonts w:ascii="Arial" w:hAnsi="Arial" w:cs="Arial"/>
                <w:sz w:val="20"/>
                <w:szCs w:val="20"/>
              </w:rPr>
              <w:t xml:space="preserve">     </w:t>
            </w:r>
          </w:p>
        </w:tc>
        <w:tc>
          <w:tcPr>
            <w:tcW w:w="2500" w:type="dxa"/>
            <w:gridSpan w:val="4"/>
            <w:noWrap/>
            <w:hideMark/>
          </w:tcPr>
          <w:tbl>
            <w:tblPr>
              <w:tblW w:w="4322" w:type="dxa"/>
              <w:tblCellSpacing w:w="0" w:type="dxa"/>
              <w:tblLayout w:type="fixed"/>
              <w:tblCellMar>
                <w:left w:w="0" w:type="dxa"/>
                <w:right w:w="0" w:type="dxa"/>
              </w:tblCellMar>
              <w:tblLook w:val="04A0" w:firstRow="1" w:lastRow="0" w:firstColumn="1" w:lastColumn="0" w:noHBand="0" w:noVBand="1"/>
            </w:tblPr>
            <w:tblGrid>
              <w:gridCol w:w="4322"/>
            </w:tblGrid>
            <w:tr w:rsidR="00450938" w:rsidRPr="00EF34F1" w14:paraId="2B2809A4" w14:textId="77777777" w:rsidTr="00BE5F5B">
              <w:trPr>
                <w:trHeight w:val="465"/>
                <w:tblCellSpacing w:w="0" w:type="dxa"/>
              </w:trPr>
              <w:tc>
                <w:tcPr>
                  <w:tcW w:w="4322" w:type="dxa"/>
                  <w:tcBorders>
                    <w:top w:val="nil"/>
                    <w:left w:val="nil"/>
                    <w:bottom w:val="nil"/>
                    <w:right w:val="nil"/>
                  </w:tcBorders>
                  <w:shd w:val="clear" w:color="auto" w:fill="auto"/>
                  <w:noWrap/>
                  <w:vAlign w:val="bottom"/>
                  <w:hideMark/>
                </w:tcPr>
                <w:p w14:paraId="09C023BF" w14:textId="67CA5C9C" w:rsidR="00450938" w:rsidRPr="00EF34F1" w:rsidRDefault="00BE5F5B">
                  <w:pPr>
                    <w:rPr>
                      <w:rFonts w:ascii="Arial" w:hAnsi="Arial" w:cs="Arial"/>
                      <w:sz w:val="20"/>
                      <w:szCs w:val="20"/>
                    </w:rPr>
                  </w:pPr>
                  <w:r w:rsidRPr="00F378E2">
                    <w:rPr>
                      <w:noProof/>
                      <w:lang w:eastAsia="en-GB"/>
                    </w:rPr>
                    <w:drawing>
                      <wp:inline distT="0" distB="0" distL="0" distR="0" wp14:anchorId="594FA84F" wp14:editId="5FF8BE28">
                        <wp:extent cx="2420212" cy="762000"/>
                        <wp:effectExtent l="0" t="0" r="0" b="0"/>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17364" cy="761103"/>
                                </a:xfrm>
                                <a:prstGeom prst="rect">
                                  <a:avLst/>
                                </a:prstGeom>
                                <a:noFill/>
                                <a:ln>
                                  <a:noFill/>
                                </a:ln>
                              </pic:spPr>
                            </pic:pic>
                          </a:graphicData>
                        </a:graphic>
                      </wp:inline>
                    </w:drawing>
                  </w:r>
                </w:p>
              </w:tc>
            </w:tr>
          </w:tbl>
          <w:p w14:paraId="3A069558" w14:textId="77777777" w:rsidR="00450938" w:rsidRPr="00EF34F1" w:rsidRDefault="00450938">
            <w:pPr>
              <w:rPr>
                <w:rFonts w:ascii="Arial" w:hAnsi="Arial" w:cs="Arial"/>
                <w:sz w:val="20"/>
                <w:szCs w:val="20"/>
              </w:rPr>
            </w:pPr>
          </w:p>
        </w:tc>
        <w:tc>
          <w:tcPr>
            <w:tcW w:w="2355" w:type="dxa"/>
            <w:gridSpan w:val="5"/>
            <w:noWrap/>
            <w:hideMark/>
          </w:tcPr>
          <w:p w14:paraId="299C36B9" w14:textId="77777777" w:rsidR="00450938" w:rsidRPr="00EF34F1" w:rsidRDefault="00450938">
            <w:pPr>
              <w:rPr>
                <w:rFonts w:ascii="Arial" w:hAnsi="Arial" w:cs="Arial"/>
                <w:sz w:val="20"/>
                <w:szCs w:val="20"/>
              </w:rPr>
            </w:pPr>
          </w:p>
        </w:tc>
      </w:tr>
      <w:tr w:rsidR="00450938" w:rsidRPr="00EF34F1" w14:paraId="319528C4" w14:textId="77777777" w:rsidTr="008F32D5">
        <w:trPr>
          <w:gridAfter w:val="1"/>
          <w:wAfter w:w="236" w:type="dxa"/>
          <w:trHeight w:val="300"/>
        </w:trPr>
        <w:tc>
          <w:tcPr>
            <w:tcW w:w="5068" w:type="dxa"/>
            <w:noWrap/>
            <w:hideMark/>
          </w:tcPr>
          <w:p w14:paraId="4639C104" w14:textId="77777777" w:rsidR="00450938" w:rsidRPr="00EF34F1" w:rsidRDefault="00450938">
            <w:pPr>
              <w:rPr>
                <w:rFonts w:ascii="Arial" w:hAnsi="Arial" w:cs="Arial"/>
                <w:sz w:val="20"/>
                <w:szCs w:val="20"/>
              </w:rPr>
            </w:pPr>
          </w:p>
        </w:tc>
        <w:tc>
          <w:tcPr>
            <w:tcW w:w="2500" w:type="dxa"/>
            <w:gridSpan w:val="4"/>
            <w:noWrap/>
            <w:hideMark/>
          </w:tcPr>
          <w:p w14:paraId="30AE99E2" w14:textId="77777777" w:rsidR="00450938" w:rsidRPr="00EF34F1" w:rsidRDefault="00450938">
            <w:pPr>
              <w:rPr>
                <w:rFonts w:ascii="Arial" w:hAnsi="Arial" w:cs="Arial"/>
                <w:sz w:val="20"/>
                <w:szCs w:val="20"/>
              </w:rPr>
            </w:pPr>
          </w:p>
        </w:tc>
        <w:tc>
          <w:tcPr>
            <w:tcW w:w="2355" w:type="dxa"/>
            <w:gridSpan w:val="5"/>
            <w:noWrap/>
            <w:hideMark/>
          </w:tcPr>
          <w:p w14:paraId="35524E5D" w14:textId="77777777" w:rsidR="00450938" w:rsidRPr="00EF34F1" w:rsidRDefault="00450938">
            <w:pPr>
              <w:rPr>
                <w:rFonts w:ascii="Arial" w:hAnsi="Arial" w:cs="Arial"/>
                <w:sz w:val="20"/>
                <w:szCs w:val="20"/>
              </w:rPr>
            </w:pPr>
          </w:p>
        </w:tc>
      </w:tr>
      <w:tr w:rsidR="00450938" w:rsidRPr="00EF34F1" w14:paraId="07732358" w14:textId="77777777" w:rsidTr="008F32D5">
        <w:trPr>
          <w:gridAfter w:val="1"/>
          <w:wAfter w:w="236" w:type="dxa"/>
          <w:trHeight w:val="360"/>
        </w:trPr>
        <w:tc>
          <w:tcPr>
            <w:tcW w:w="5068" w:type="dxa"/>
            <w:noWrap/>
            <w:hideMark/>
          </w:tcPr>
          <w:p w14:paraId="4249BF05" w14:textId="77777777" w:rsidR="00450938" w:rsidRPr="00EF34F1" w:rsidRDefault="00450938">
            <w:pPr>
              <w:rPr>
                <w:rFonts w:ascii="Arial" w:hAnsi="Arial" w:cs="Arial"/>
                <w:sz w:val="28"/>
                <w:szCs w:val="28"/>
              </w:rPr>
            </w:pPr>
            <w:r w:rsidRPr="00EF34F1">
              <w:rPr>
                <w:rFonts w:ascii="Arial" w:hAnsi="Arial" w:cs="Arial"/>
                <w:sz w:val="28"/>
                <w:szCs w:val="28"/>
              </w:rPr>
              <w:t>Guide from</w:t>
            </w:r>
          </w:p>
        </w:tc>
        <w:tc>
          <w:tcPr>
            <w:tcW w:w="2500" w:type="dxa"/>
            <w:gridSpan w:val="4"/>
            <w:noWrap/>
            <w:hideMark/>
          </w:tcPr>
          <w:p w14:paraId="2231F829" w14:textId="77777777" w:rsidR="00450938" w:rsidRPr="00EF34F1" w:rsidRDefault="00450938">
            <w:pPr>
              <w:rPr>
                <w:rFonts w:ascii="Arial" w:hAnsi="Arial" w:cs="Arial"/>
                <w:sz w:val="20"/>
                <w:szCs w:val="20"/>
              </w:rPr>
            </w:pPr>
          </w:p>
        </w:tc>
        <w:tc>
          <w:tcPr>
            <w:tcW w:w="2355" w:type="dxa"/>
            <w:gridSpan w:val="5"/>
            <w:noWrap/>
            <w:hideMark/>
          </w:tcPr>
          <w:p w14:paraId="720A1276" w14:textId="77777777" w:rsidR="00450938" w:rsidRPr="00EF34F1" w:rsidRDefault="00450938">
            <w:pPr>
              <w:rPr>
                <w:rFonts w:ascii="Arial" w:hAnsi="Arial" w:cs="Arial"/>
                <w:sz w:val="20"/>
                <w:szCs w:val="20"/>
              </w:rPr>
            </w:pPr>
          </w:p>
        </w:tc>
      </w:tr>
      <w:tr w:rsidR="00450938" w:rsidRPr="00EF34F1" w14:paraId="13ACF80B" w14:textId="77777777" w:rsidTr="008F32D5">
        <w:trPr>
          <w:gridAfter w:val="1"/>
          <w:wAfter w:w="236" w:type="dxa"/>
          <w:trHeight w:val="540"/>
        </w:trPr>
        <w:tc>
          <w:tcPr>
            <w:tcW w:w="7568" w:type="dxa"/>
            <w:gridSpan w:val="5"/>
            <w:noWrap/>
            <w:hideMark/>
          </w:tcPr>
          <w:p w14:paraId="671F9ECA" w14:textId="77777777" w:rsidR="00450938" w:rsidRPr="00EF34F1" w:rsidRDefault="00450938">
            <w:pPr>
              <w:rPr>
                <w:rFonts w:ascii="Arial" w:hAnsi="Arial" w:cs="Arial"/>
                <w:sz w:val="44"/>
                <w:szCs w:val="44"/>
              </w:rPr>
            </w:pPr>
            <w:r w:rsidRPr="00EF34F1">
              <w:rPr>
                <w:rFonts w:ascii="Arial" w:hAnsi="Arial" w:cs="Arial"/>
                <w:bCs/>
                <w:sz w:val="44"/>
                <w:szCs w:val="44"/>
              </w:rPr>
              <w:t>[insert your firm’s name here]</w:t>
            </w:r>
          </w:p>
        </w:tc>
        <w:tc>
          <w:tcPr>
            <w:tcW w:w="2355" w:type="dxa"/>
            <w:gridSpan w:val="5"/>
            <w:noWrap/>
            <w:hideMark/>
          </w:tcPr>
          <w:p w14:paraId="431B9196" w14:textId="77777777" w:rsidR="00450938" w:rsidRPr="00EF34F1" w:rsidRDefault="00450938">
            <w:pPr>
              <w:rPr>
                <w:rFonts w:ascii="Arial" w:hAnsi="Arial" w:cs="Arial"/>
                <w:sz w:val="20"/>
                <w:szCs w:val="20"/>
              </w:rPr>
            </w:pPr>
          </w:p>
        </w:tc>
      </w:tr>
      <w:tr w:rsidR="00450938" w:rsidRPr="00EF34F1" w14:paraId="4D13996F" w14:textId="77777777" w:rsidTr="00603322">
        <w:trPr>
          <w:trHeight w:val="300"/>
        </w:trPr>
        <w:tc>
          <w:tcPr>
            <w:tcW w:w="5954" w:type="dxa"/>
            <w:gridSpan w:val="2"/>
            <w:noWrap/>
            <w:hideMark/>
          </w:tcPr>
          <w:p w14:paraId="5DB0D131" w14:textId="77777777" w:rsidR="00450938" w:rsidRPr="00EF34F1" w:rsidRDefault="00450938" w:rsidP="0045710D">
            <w:pPr>
              <w:rPr>
                <w:rFonts w:ascii="Arial" w:hAnsi="Arial" w:cs="Arial"/>
              </w:rPr>
            </w:pPr>
          </w:p>
        </w:tc>
        <w:tc>
          <w:tcPr>
            <w:tcW w:w="1984" w:type="dxa"/>
            <w:gridSpan w:val="4"/>
            <w:noWrap/>
            <w:hideMark/>
          </w:tcPr>
          <w:p w14:paraId="63562635" w14:textId="77777777" w:rsidR="00450938" w:rsidRPr="00EF34F1" w:rsidRDefault="00450938">
            <w:pPr>
              <w:rPr>
                <w:rFonts w:ascii="Arial" w:hAnsi="Arial" w:cs="Arial"/>
                <w:sz w:val="20"/>
                <w:szCs w:val="20"/>
              </w:rPr>
            </w:pPr>
          </w:p>
        </w:tc>
        <w:tc>
          <w:tcPr>
            <w:tcW w:w="1985" w:type="dxa"/>
            <w:gridSpan w:val="4"/>
            <w:noWrap/>
            <w:hideMark/>
          </w:tcPr>
          <w:p w14:paraId="7B049E2F" w14:textId="77777777" w:rsidR="00450938" w:rsidRPr="00EF34F1" w:rsidRDefault="00450938">
            <w:pPr>
              <w:rPr>
                <w:rFonts w:ascii="Arial" w:hAnsi="Arial" w:cs="Arial"/>
                <w:sz w:val="20"/>
                <w:szCs w:val="20"/>
              </w:rPr>
            </w:pPr>
          </w:p>
        </w:tc>
        <w:tc>
          <w:tcPr>
            <w:tcW w:w="236" w:type="dxa"/>
            <w:noWrap/>
            <w:hideMark/>
          </w:tcPr>
          <w:p w14:paraId="7B357698" w14:textId="77777777" w:rsidR="00450938" w:rsidRPr="00EF34F1" w:rsidRDefault="00450938">
            <w:pPr>
              <w:rPr>
                <w:rFonts w:ascii="Arial" w:hAnsi="Arial" w:cs="Arial"/>
                <w:sz w:val="20"/>
                <w:szCs w:val="20"/>
              </w:rPr>
            </w:pPr>
          </w:p>
        </w:tc>
      </w:tr>
      <w:tr w:rsidR="00450938" w:rsidRPr="00EF34F1" w14:paraId="2C722244" w14:textId="77777777" w:rsidTr="00603322">
        <w:trPr>
          <w:trHeight w:val="330"/>
        </w:trPr>
        <w:tc>
          <w:tcPr>
            <w:tcW w:w="5954" w:type="dxa"/>
            <w:gridSpan w:val="2"/>
            <w:noWrap/>
          </w:tcPr>
          <w:p w14:paraId="03F206AD" w14:textId="77777777" w:rsidR="00450938" w:rsidRDefault="00450938">
            <w:pPr>
              <w:rPr>
                <w:rFonts w:ascii="Arial" w:hAnsi="Arial" w:cs="Arial"/>
              </w:rPr>
            </w:pPr>
            <w:r w:rsidRPr="00EF34F1">
              <w:rPr>
                <w:rFonts w:ascii="Arial" w:hAnsi="Arial" w:cs="Arial"/>
              </w:rPr>
              <w:t>[Insert a line about your business here]</w:t>
            </w:r>
          </w:p>
          <w:p w14:paraId="76F6DC08" w14:textId="77777777" w:rsidR="004D35AB" w:rsidRDefault="004D35AB">
            <w:pPr>
              <w:rPr>
                <w:rFonts w:ascii="Arial" w:hAnsi="Arial" w:cs="Arial"/>
              </w:rPr>
            </w:pPr>
          </w:p>
          <w:p w14:paraId="503F2CF2" w14:textId="5F19498F" w:rsidR="001A07D8" w:rsidRPr="004A0E58" w:rsidRDefault="007E7C16" w:rsidP="00285FC8">
            <w:pPr>
              <w:ind w:right="-569"/>
              <w:rPr>
                <w:rFonts w:ascii="Arial" w:hAnsi="Arial" w:cs="Arial"/>
                <w:b/>
                <w:bCs/>
                <w:sz w:val="40"/>
                <w:szCs w:val="40"/>
              </w:rPr>
            </w:pPr>
            <w:r w:rsidRPr="004A0E58">
              <w:rPr>
                <w:rFonts w:ascii="Arial" w:hAnsi="Arial" w:cs="Arial"/>
                <w:b/>
                <w:bCs/>
                <w:sz w:val="40"/>
                <w:szCs w:val="40"/>
              </w:rPr>
              <w:t>Spring Statement 2022</w:t>
            </w:r>
            <w:r w:rsidR="004D35AB" w:rsidRPr="004A0E58">
              <w:rPr>
                <w:rFonts w:ascii="Arial" w:hAnsi="Arial" w:cs="Arial"/>
                <w:b/>
                <w:bCs/>
                <w:sz w:val="40"/>
                <w:szCs w:val="40"/>
              </w:rPr>
              <w:t xml:space="preserve"> </w:t>
            </w:r>
          </w:p>
          <w:p w14:paraId="5732851B" w14:textId="3E0BE24E" w:rsidR="00450938" w:rsidRPr="004A0E58" w:rsidRDefault="001A07D8" w:rsidP="00285FC8">
            <w:pPr>
              <w:ind w:right="-569"/>
              <w:rPr>
                <w:rFonts w:ascii="Arial" w:hAnsi="Arial" w:cs="Arial"/>
                <w:b/>
                <w:bCs/>
                <w:sz w:val="20"/>
                <w:szCs w:val="20"/>
              </w:rPr>
            </w:pPr>
            <w:r w:rsidRPr="004A0E58">
              <w:rPr>
                <w:rFonts w:ascii="Arial" w:hAnsi="Arial" w:cs="Arial"/>
                <w:b/>
                <w:bCs/>
                <w:sz w:val="32"/>
                <w:szCs w:val="32"/>
              </w:rPr>
              <w:t>T</w:t>
            </w:r>
            <w:r w:rsidR="004D35AB" w:rsidRPr="004A0E58">
              <w:rPr>
                <w:rFonts w:ascii="Arial" w:hAnsi="Arial" w:cs="Arial"/>
                <w:b/>
                <w:bCs/>
                <w:sz w:val="32"/>
                <w:szCs w:val="32"/>
              </w:rPr>
              <w:t>ax rates and allowances</w:t>
            </w:r>
          </w:p>
        </w:tc>
        <w:tc>
          <w:tcPr>
            <w:tcW w:w="1984" w:type="dxa"/>
            <w:gridSpan w:val="4"/>
            <w:noWrap/>
          </w:tcPr>
          <w:p w14:paraId="48295046" w14:textId="77777777" w:rsidR="00450938" w:rsidRPr="00EF34F1" w:rsidRDefault="00450938">
            <w:pPr>
              <w:rPr>
                <w:rFonts w:ascii="Arial" w:hAnsi="Arial" w:cs="Arial"/>
                <w:sz w:val="20"/>
                <w:szCs w:val="20"/>
              </w:rPr>
            </w:pPr>
          </w:p>
        </w:tc>
        <w:tc>
          <w:tcPr>
            <w:tcW w:w="1985" w:type="dxa"/>
            <w:gridSpan w:val="4"/>
            <w:noWrap/>
          </w:tcPr>
          <w:p w14:paraId="73F963BF" w14:textId="77777777" w:rsidR="00450938" w:rsidRPr="00EF34F1" w:rsidRDefault="00450938">
            <w:pPr>
              <w:rPr>
                <w:rFonts w:ascii="Arial" w:hAnsi="Arial" w:cs="Arial"/>
                <w:sz w:val="20"/>
                <w:szCs w:val="20"/>
              </w:rPr>
            </w:pPr>
          </w:p>
        </w:tc>
        <w:tc>
          <w:tcPr>
            <w:tcW w:w="236" w:type="dxa"/>
            <w:noWrap/>
          </w:tcPr>
          <w:p w14:paraId="417479D1" w14:textId="77777777" w:rsidR="00450938" w:rsidRPr="00EF34F1" w:rsidRDefault="00450938" w:rsidP="00F46718">
            <w:pPr>
              <w:tabs>
                <w:tab w:val="left" w:pos="1139"/>
              </w:tabs>
              <w:rPr>
                <w:rFonts w:ascii="Arial" w:hAnsi="Arial" w:cs="Arial"/>
                <w:sz w:val="20"/>
                <w:szCs w:val="20"/>
              </w:rPr>
            </w:pPr>
            <w:r w:rsidRPr="00EF34F1">
              <w:rPr>
                <w:rFonts w:ascii="Arial" w:hAnsi="Arial" w:cs="Arial"/>
                <w:sz w:val="20"/>
                <w:szCs w:val="20"/>
              </w:rPr>
              <w:tab/>
            </w:r>
          </w:p>
        </w:tc>
      </w:tr>
      <w:tr w:rsidR="00450938" w:rsidRPr="00EF34F1" w14:paraId="33C0BE18" w14:textId="77777777" w:rsidTr="00603322">
        <w:trPr>
          <w:gridAfter w:val="1"/>
          <w:wAfter w:w="236" w:type="dxa"/>
          <w:trHeight w:val="330"/>
        </w:trPr>
        <w:tc>
          <w:tcPr>
            <w:tcW w:w="5954" w:type="dxa"/>
            <w:gridSpan w:val="2"/>
            <w:tcBorders>
              <w:bottom w:val="single" w:sz="4" w:space="0" w:color="auto"/>
            </w:tcBorders>
            <w:noWrap/>
            <w:hideMark/>
          </w:tcPr>
          <w:p w14:paraId="31994E4A" w14:textId="4C1692B5" w:rsidR="00450938" w:rsidRPr="00EF34F1" w:rsidRDefault="00450938">
            <w:pPr>
              <w:rPr>
                <w:rFonts w:ascii="Arial" w:hAnsi="Arial" w:cs="Arial"/>
                <w:sz w:val="20"/>
                <w:szCs w:val="20"/>
              </w:rPr>
            </w:pPr>
            <w:r w:rsidRPr="00EF34F1">
              <w:rPr>
                <w:rFonts w:ascii="Arial" w:hAnsi="Arial" w:cs="Arial"/>
                <w:sz w:val="20"/>
                <w:szCs w:val="20"/>
              </w:rPr>
              <w:t xml:space="preserve">                   </w:t>
            </w:r>
          </w:p>
        </w:tc>
        <w:tc>
          <w:tcPr>
            <w:tcW w:w="1984" w:type="dxa"/>
            <w:gridSpan w:val="4"/>
            <w:tcBorders>
              <w:bottom w:val="single" w:sz="4" w:space="0" w:color="auto"/>
            </w:tcBorders>
            <w:noWrap/>
            <w:hideMark/>
          </w:tcPr>
          <w:p w14:paraId="615D4093" w14:textId="77777777" w:rsidR="00450938" w:rsidRPr="00EF34F1" w:rsidRDefault="00450938">
            <w:pPr>
              <w:rPr>
                <w:rFonts w:ascii="Arial" w:hAnsi="Arial" w:cs="Arial"/>
                <w:sz w:val="20"/>
                <w:szCs w:val="20"/>
              </w:rPr>
            </w:pPr>
          </w:p>
        </w:tc>
        <w:tc>
          <w:tcPr>
            <w:tcW w:w="1985" w:type="dxa"/>
            <w:gridSpan w:val="4"/>
            <w:tcBorders>
              <w:bottom w:val="single" w:sz="4" w:space="0" w:color="auto"/>
            </w:tcBorders>
            <w:noWrap/>
            <w:hideMark/>
          </w:tcPr>
          <w:p w14:paraId="5183437C" w14:textId="77777777" w:rsidR="00450938" w:rsidRPr="00EF34F1" w:rsidRDefault="00450938">
            <w:pPr>
              <w:rPr>
                <w:rFonts w:ascii="Arial" w:hAnsi="Arial" w:cs="Arial"/>
                <w:sz w:val="20"/>
                <w:szCs w:val="20"/>
              </w:rPr>
            </w:pPr>
          </w:p>
        </w:tc>
      </w:tr>
      <w:tr w:rsidR="00450938" w:rsidRPr="00EF34F1" w14:paraId="34DCB3A6" w14:textId="77777777" w:rsidTr="00603322">
        <w:trPr>
          <w:gridAfter w:val="1"/>
          <w:wAfter w:w="236" w:type="dxa"/>
          <w:trHeight w:val="330"/>
        </w:trPr>
        <w:tc>
          <w:tcPr>
            <w:tcW w:w="5954"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4497497" w14:textId="6D140232" w:rsidR="00450938" w:rsidRPr="00EF34F1" w:rsidRDefault="00450938">
            <w:pPr>
              <w:rPr>
                <w:rFonts w:ascii="Arial" w:hAnsi="Arial" w:cs="Arial"/>
                <w:sz w:val="20"/>
                <w:szCs w:val="20"/>
              </w:rPr>
            </w:pPr>
            <w:r w:rsidRPr="00EF34F1">
              <w:rPr>
                <w:rFonts w:ascii="Arial" w:hAnsi="Arial" w:cs="Arial"/>
                <w:sz w:val="20"/>
                <w:szCs w:val="20"/>
              </w:rPr>
              <w:t> </w:t>
            </w:r>
            <w:r w:rsidR="00695619" w:rsidRPr="00EF1758">
              <w:rPr>
                <w:rFonts w:ascii="Arial" w:hAnsi="Arial" w:cs="Arial"/>
                <w:b/>
                <w:bCs/>
                <w:sz w:val="20"/>
                <w:szCs w:val="20"/>
              </w:rPr>
              <w:t xml:space="preserve">Income tax rates: England, Wales &amp; Northern Ireland </w:t>
            </w:r>
            <w:r w:rsidR="00695619" w:rsidRPr="00EF1758">
              <w:rPr>
                <w:rFonts w:ascii="Arial" w:hAnsi="Arial" w:cs="Arial"/>
                <w:b/>
                <w:bCs/>
                <w:sz w:val="20"/>
                <w:szCs w:val="20"/>
              </w:rPr>
              <w:br/>
              <w:t>(non-dividend income) (note 1)</w:t>
            </w:r>
          </w:p>
        </w:tc>
        <w:tc>
          <w:tcPr>
            <w:tcW w:w="1984"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10A7E7B" w14:textId="6915738D" w:rsidR="00450938" w:rsidRPr="00EF34F1" w:rsidRDefault="0088104D" w:rsidP="004D35AB">
            <w:pPr>
              <w:jc w:val="right"/>
              <w:rPr>
                <w:rFonts w:ascii="Arial" w:hAnsi="Arial" w:cs="Arial"/>
                <w:b/>
                <w:bCs/>
                <w:sz w:val="24"/>
                <w:szCs w:val="24"/>
              </w:rPr>
            </w:pPr>
            <w:r>
              <w:rPr>
                <w:rFonts w:ascii="Arial" w:hAnsi="Arial" w:cs="Arial"/>
                <w:b/>
                <w:bCs/>
                <w:sz w:val="24"/>
                <w:szCs w:val="24"/>
              </w:rPr>
              <w:t>2022/23</w:t>
            </w:r>
          </w:p>
        </w:tc>
        <w:tc>
          <w:tcPr>
            <w:tcW w:w="1985"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A2DBF2" w14:textId="31328C81" w:rsidR="00450938" w:rsidRPr="00D63985" w:rsidRDefault="0088104D" w:rsidP="004D35AB">
            <w:pPr>
              <w:jc w:val="right"/>
              <w:rPr>
                <w:rFonts w:ascii="Arial" w:hAnsi="Arial" w:cs="Arial"/>
                <w:b/>
                <w:bCs/>
                <w:sz w:val="24"/>
                <w:szCs w:val="24"/>
              </w:rPr>
            </w:pPr>
            <w:r w:rsidRPr="00D63985">
              <w:rPr>
                <w:rFonts w:ascii="Arial" w:hAnsi="Arial" w:cs="Arial"/>
                <w:b/>
                <w:bCs/>
                <w:sz w:val="24"/>
                <w:szCs w:val="24"/>
              </w:rPr>
              <w:t>2021/22</w:t>
            </w:r>
          </w:p>
        </w:tc>
      </w:tr>
      <w:tr w:rsidR="00450938" w:rsidRPr="00EF34F1" w14:paraId="13194A2A"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D79C2A6" w14:textId="1FD65E9B" w:rsidR="00450938" w:rsidRPr="00EF1758" w:rsidRDefault="00450938" w:rsidP="00015FEA">
            <w:pPr>
              <w:rPr>
                <w:rFonts w:ascii="Arial" w:hAnsi="Arial" w:cs="Arial"/>
                <w:sz w:val="20"/>
                <w:szCs w:val="20"/>
              </w:rPr>
            </w:pPr>
            <w:r w:rsidRPr="00EF1758">
              <w:rPr>
                <w:rFonts w:ascii="Arial" w:hAnsi="Arial" w:cs="Arial"/>
                <w:sz w:val="20"/>
                <w:szCs w:val="20"/>
              </w:rPr>
              <w:t>0% starting rate for savings only</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232D5590" w14:textId="52A378A8"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Up to </w:t>
            </w:r>
            <w:r w:rsidR="00695619">
              <w:rPr>
                <w:rFonts w:ascii="Arial" w:hAnsi="Arial" w:cs="Arial"/>
                <w:sz w:val="20"/>
                <w:szCs w:val="20"/>
              </w:rPr>
              <w:t>£</w:t>
            </w:r>
            <w:r w:rsidRPr="00D63985">
              <w:rPr>
                <w:rFonts w:ascii="Arial" w:hAnsi="Arial" w:cs="Arial"/>
                <w:sz w:val="20"/>
                <w:szCs w:val="20"/>
              </w:rPr>
              <w:t>5,000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1D384770" w14:textId="6458B14D"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Up to </w:t>
            </w:r>
            <w:r w:rsidR="00695619">
              <w:rPr>
                <w:rFonts w:ascii="Arial" w:hAnsi="Arial" w:cs="Arial"/>
                <w:sz w:val="20"/>
                <w:szCs w:val="20"/>
              </w:rPr>
              <w:t>£</w:t>
            </w:r>
            <w:r w:rsidRPr="00D63985">
              <w:rPr>
                <w:rFonts w:ascii="Arial" w:hAnsi="Arial" w:cs="Arial"/>
                <w:sz w:val="20"/>
                <w:szCs w:val="20"/>
              </w:rPr>
              <w:t>5,000</w:t>
            </w:r>
          </w:p>
        </w:tc>
      </w:tr>
      <w:tr w:rsidR="00450938" w:rsidRPr="00EF34F1" w14:paraId="56FAF4BF"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4C3EE2C2" w14:textId="577AFE4D" w:rsidR="00450938" w:rsidRPr="00EE2CD6" w:rsidRDefault="00450938">
            <w:pPr>
              <w:rPr>
                <w:rFonts w:ascii="Arial" w:hAnsi="Arial" w:cs="Arial"/>
                <w:sz w:val="20"/>
                <w:szCs w:val="20"/>
              </w:rPr>
            </w:pPr>
            <w:r w:rsidRPr="00EE2CD6">
              <w:rPr>
                <w:rFonts w:ascii="Arial" w:hAnsi="Arial" w:cs="Arial"/>
                <w:sz w:val="20"/>
                <w:szCs w:val="20"/>
              </w:rPr>
              <w:t>20% basic rate tax</w:t>
            </w:r>
            <w:r w:rsidR="00794277">
              <w:rPr>
                <w:rFonts w:ascii="Arial" w:hAnsi="Arial" w:cs="Arial"/>
                <w:sz w:val="20"/>
                <w:szCs w:val="20"/>
              </w:rPr>
              <w:t xml:space="preserve"> *</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238DFA7B" w14:textId="215DEEBC" w:rsidR="00450938" w:rsidRPr="00EE2CD6" w:rsidRDefault="00695619" w:rsidP="00DB11EB">
            <w:pPr>
              <w:jc w:val="right"/>
              <w:rPr>
                <w:rFonts w:ascii="Arial" w:hAnsi="Arial" w:cs="Arial"/>
                <w:sz w:val="20"/>
                <w:szCs w:val="20"/>
              </w:rPr>
            </w:pPr>
            <w:r w:rsidRPr="00EE2CD6">
              <w:rPr>
                <w:rFonts w:ascii="Arial" w:hAnsi="Arial" w:cs="Arial"/>
                <w:sz w:val="20"/>
                <w:szCs w:val="20"/>
              </w:rPr>
              <w:t>£</w:t>
            </w:r>
            <w:r w:rsidR="00450938" w:rsidRPr="00EE2CD6">
              <w:rPr>
                <w:rFonts w:ascii="Arial" w:hAnsi="Arial" w:cs="Arial"/>
                <w:sz w:val="20"/>
                <w:szCs w:val="20"/>
              </w:rPr>
              <w:t>12,5</w:t>
            </w:r>
            <w:r w:rsidR="00DB11EB" w:rsidRPr="00EE2CD6">
              <w:rPr>
                <w:rFonts w:ascii="Arial" w:hAnsi="Arial" w:cs="Arial"/>
                <w:sz w:val="20"/>
                <w:szCs w:val="20"/>
              </w:rPr>
              <w:t>7</w:t>
            </w:r>
            <w:r w:rsidR="00450938" w:rsidRPr="00EE2CD6">
              <w:rPr>
                <w:rFonts w:ascii="Arial" w:hAnsi="Arial" w:cs="Arial"/>
                <w:sz w:val="20"/>
                <w:szCs w:val="20"/>
              </w:rPr>
              <w:t>1</w:t>
            </w:r>
            <w:r w:rsidR="00350EBF" w:rsidRPr="00EE2CD6">
              <w:rPr>
                <w:rFonts w:ascii="Arial" w:hAnsi="Arial" w:cs="Arial"/>
                <w:sz w:val="20"/>
                <w:szCs w:val="20"/>
              </w:rPr>
              <w:t>-</w:t>
            </w:r>
            <w:r w:rsidRPr="00EE2CD6">
              <w:rPr>
                <w:rFonts w:ascii="Arial" w:hAnsi="Arial" w:cs="Arial"/>
                <w:sz w:val="20"/>
                <w:szCs w:val="20"/>
              </w:rPr>
              <w:t>£</w:t>
            </w:r>
            <w:r w:rsidR="00450938" w:rsidRPr="00EE2CD6">
              <w:rPr>
                <w:rFonts w:ascii="Arial" w:hAnsi="Arial" w:cs="Arial"/>
                <w:sz w:val="20"/>
                <w:szCs w:val="20"/>
              </w:rPr>
              <w:t>50,</w:t>
            </w:r>
            <w:r w:rsidR="00DB11EB" w:rsidRPr="00EE2CD6">
              <w:rPr>
                <w:rFonts w:ascii="Arial" w:hAnsi="Arial" w:cs="Arial"/>
                <w:sz w:val="20"/>
                <w:szCs w:val="20"/>
              </w:rPr>
              <w:t>270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18CEF789" w14:textId="1E9AA0E9" w:rsidR="00450938" w:rsidRPr="00EE2CD6" w:rsidRDefault="00695619" w:rsidP="004D35AB">
            <w:pPr>
              <w:jc w:val="right"/>
              <w:rPr>
                <w:rFonts w:ascii="Arial" w:hAnsi="Arial" w:cs="Arial"/>
                <w:sz w:val="20"/>
                <w:szCs w:val="20"/>
              </w:rPr>
            </w:pPr>
            <w:r w:rsidRPr="00EE2CD6">
              <w:rPr>
                <w:rFonts w:ascii="Arial" w:hAnsi="Arial" w:cs="Arial"/>
                <w:sz w:val="20"/>
                <w:szCs w:val="20"/>
              </w:rPr>
              <w:t>£</w:t>
            </w:r>
            <w:r w:rsidR="00450938" w:rsidRPr="00EE2CD6">
              <w:rPr>
                <w:rFonts w:ascii="Arial" w:hAnsi="Arial" w:cs="Arial"/>
                <w:sz w:val="20"/>
                <w:szCs w:val="20"/>
              </w:rPr>
              <w:t>12,5</w:t>
            </w:r>
            <w:r w:rsidR="0088104D" w:rsidRPr="00EE2CD6">
              <w:rPr>
                <w:rFonts w:ascii="Arial" w:hAnsi="Arial" w:cs="Arial"/>
                <w:sz w:val="20"/>
                <w:szCs w:val="20"/>
              </w:rPr>
              <w:t>7</w:t>
            </w:r>
            <w:r w:rsidR="00450938" w:rsidRPr="00EE2CD6">
              <w:rPr>
                <w:rFonts w:ascii="Arial" w:hAnsi="Arial" w:cs="Arial"/>
                <w:sz w:val="20"/>
                <w:szCs w:val="20"/>
              </w:rPr>
              <w:t>1</w:t>
            </w:r>
            <w:r w:rsidR="00350EBF" w:rsidRPr="00EE2CD6">
              <w:rPr>
                <w:rFonts w:ascii="Arial" w:hAnsi="Arial" w:cs="Arial"/>
                <w:sz w:val="20"/>
                <w:szCs w:val="20"/>
              </w:rPr>
              <w:t>-</w:t>
            </w:r>
            <w:r w:rsidR="00AD4F94" w:rsidRPr="00EE2CD6">
              <w:rPr>
                <w:rFonts w:ascii="Arial" w:hAnsi="Arial" w:cs="Arial"/>
                <w:sz w:val="20"/>
                <w:szCs w:val="20"/>
              </w:rPr>
              <w:t xml:space="preserve"> </w:t>
            </w:r>
            <w:r w:rsidRPr="00EE2CD6">
              <w:rPr>
                <w:rFonts w:ascii="Arial" w:hAnsi="Arial" w:cs="Arial"/>
                <w:sz w:val="20"/>
                <w:szCs w:val="20"/>
              </w:rPr>
              <w:t>£</w:t>
            </w:r>
            <w:r w:rsidR="00450938" w:rsidRPr="00EE2CD6">
              <w:rPr>
                <w:rFonts w:ascii="Arial" w:hAnsi="Arial" w:cs="Arial"/>
                <w:sz w:val="20"/>
                <w:szCs w:val="20"/>
              </w:rPr>
              <w:t>50,</w:t>
            </w:r>
            <w:r w:rsidR="0088104D" w:rsidRPr="00EE2CD6">
              <w:rPr>
                <w:rFonts w:ascii="Arial" w:hAnsi="Arial" w:cs="Arial"/>
                <w:sz w:val="20"/>
                <w:szCs w:val="20"/>
              </w:rPr>
              <w:t>270</w:t>
            </w:r>
          </w:p>
        </w:tc>
      </w:tr>
      <w:tr w:rsidR="00450938" w:rsidRPr="00EF34F1" w14:paraId="671CBD9F"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748C2324" w14:textId="77777777" w:rsidR="00450938" w:rsidRPr="00EF1758" w:rsidRDefault="00450938">
            <w:pPr>
              <w:rPr>
                <w:rFonts w:ascii="Arial" w:hAnsi="Arial" w:cs="Arial"/>
                <w:sz w:val="20"/>
                <w:szCs w:val="20"/>
              </w:rPr>
            </w:pPr>
            <w:r w:rsidRPr="00EF1758">
              <w:rPr>
                <w:rFonts w:ascii="Arial" w:hAnsi="Arial" w:cs="Arial"/>
                <w:sz w:val="20"/>
                <w:szCs w:val="20"/>
              </w:rPr>
              <w:t>40% higher rate tax</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3F2D2187" w14:textId="2B9C6C2E" w:rsidR="00450938" w:rsidRPr="00D63985" w:rsidRDefault="00695619" w:rsidP="00DB11E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50,</w:t>
            </w:r>
            <w:r w:rsidR="00DB11EB" w:rsidRPr="00D63985">
              <w:rPr>
                <w:rFonts w:ascii="Arial" w:hAnsi="Arial" w:cs="Arial"/>
                <w:sz w:val="20"/>
                <w:szCs w:val="20"/>
              </w:rPr>
              <w:t>27</w:t>
            </w:r>
            <w:r w:rsidR="00450938" w:rsidRPr="00D63985">
              <w:rPr>
                <w:rFonts w:ascii="Arial" w:hAnsi="Arial" w:cs="Arial"/>
                <w:sz w:val="20"/>
                <w:szCs w:val="20"/>
              </w:rPr>
              <w:t>1</w:t>
            </w:r>
            <w:r w:rsidR="00350EBF">
              <w:rPr>
                <w:rFonts w:ascii="Arial" w:hAnsi="Arial" w:cs="Arial"/>
                <w:sz w:val="20"/>
                <w:szCs w:val="20"/>
              </w:rPr>
              <w:t>-</w:t>
            </w:r>
            <w:r>
              <w:rPr>
                <w:rFonts w:ascii="Arial" w:hAnsi="Arial" w:cs="Arial"/>
                <w:sz w:val="20"/>
                <w:szCs w:val="20"/>
              </w:rPr>
              <w:t>£</w:t>
            </w:r>
            <w:r w:rsidR="00450938" w:rsidRPr="00D63985">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416BFEDA" w14:textId="1C8A5ABD" w:rsidR="00450938" w:rsidRPr="00D63985" w:rsidRDefault="00695619" w:rsidP="004D35AB">
            <w:pPr>
              <w:jc w:val="right"/>
              <w:rPr>
                <w:rFonts w:ascii="Arial" w:hAnsi="Arial" w:cs="Arial"/>
                <w:sz w:val="20"/>
                <w:szCs w:val="20"/>
              </w:rPr>
            </w:pPr>
            <w:r>
              <w:rPr>
                <w:rFonts w:ascii="Arial" w:hAnsi="Arial" w:cs="Arial"/>
                <w:sz w:val="20"/>
                <w:szCs w:val="20"/>
              </w:rPr>
              <w:t>£</w:t>
            </w:r>
            <w:r w:rsidR="00450938" w:rsidRPr="00D63985">
              <w:rPr>
                <w:rFonts w:ascii="Arial" w:hAnsi="Arial" w:cs="Arial"/>
                <w:sz w:val="20"/>
                <w:szCs w:val="20"/>
              </w:rPr>
              <w:t>50,</w:t>
            </w:r>
            <w:r w:rsidR="0088104D" w:rsidRPr="00D63985">
              <w:rPr>
                <w:rFonts w:ascii="Arial" w:hAnsi="Arial" w:cs="Arial"/>
                <w:sz w:val="20"/>
                <w:szCs w:val="20"/>
              </w:rPr>
              <w:t>271</w:t>
            </w:r>
            <w:r w:rsidR="00350EBF">
              <w:rPr>
                <w:rFonts w:ascii="Arial" w:hAnsi="Arial" w:cs="Arial"/>
                <w:sz w:val="20"/>
                <w:szCs w:val="20"/>
              </w:rPr>
              <w:t>-</w:t>
            </w:r>
            <w:r w:rsidR="00AD4F94" w:rsidRPr="00D63985">
              <w:rPr>
                <w:rFonts w:ascii="Arial" w:hAnsi="Arial" w:cs="Arial"/>
                <w:sz w:val="20"/>
                <w:szCs w:val="20"/>
              </w:rPr>
              <w:t xml:space="preserve"> </w:t>
            </w:r>
            <w:r>
              <w:rPr>
                <w:rFonts w:ascii="Arial" w:hAnsi="Arial" w:cs="Arial"/>
                <w:sz w:val="20"/>
                <w:szCs w:val="20"/>
              </w:rPr>
              <w:t>£</w:t>
            </w:r>
            <w:r w:rsidR="00450938" w:rsidRPr="00D63985">
              <w:rPr>
                <w:rFonts w:ascii="Arial" w:hAnsi="Arial" w:cs="Arial"/>
                <w:sz w:val="20"/>
                <w:szCs w:val="20"/>
              </w:rPr>
              <w:t>150,000</w:t>
            </w:r>
          </w:p>
        </w:tc>
      </w:tr>
      <w:tr w:rsidR="00450938" w:rsidRPr="00EF34F1" w14:paraId="7FB018FE"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4A36117" w14:textId="77777777" w:rsidR="00450938" w:rsidRPr="00EF1758" w:rsidRDefault="00450938">
            <w:pPr>
              <w:rPr>
                <w:rFonts w:ascii="Arial" w:hAnsi="Arial" w:cs="Arial"/>
                <w:sz w:val="20"/>
                <w:szCs w:val="20"/>
              </w:rPr>
            </w:pPr>
            <w:r w:rsidRPr="00EF1758">
              <w:rPr>
                <w:rFonts w:ascii="Arial" w:hAnsi="Arial" w:cs="Arial"/>
                <w:sz w:val="20"/>
                <w:szCs w:val="20"/>
              </w:rPr>
              <w:t>45% additional rate tax</w:t>
            </w:r>
          </w:p>
        </w:tc>
        <w:tc>
          <w:tcPr>
            <w:tcW w:w="1984" w:type="dxa"/>
            <w:gridSpan w:val="4"/>
            <w:tcBorders>
              <w:top w:val="single" w:sz="4" w:space="0" w:color="auto"/>
              <w:left w:val="single" w:sz="4" w:space="0" w:color="auto"/>
              <w:bottom w:val="single" w:sz="4" w:space="0" w:color="auto"/>
              <w:right w:val="single" w:sz="4" w:space="0" w:color="auto"/>
            </w:tcBorders>
            <w:noWrap/>
            <w:hideMark/>
          </w:tcPr>
          <w:p w14:paraId="1AD09184" w14:textId="04E91871"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Above </w:t>
            </w:r>
            <w:r w:rsidR="00695619">
              <w:rPr>
                <w:rFonts w:ascii="Arial" w:hAnsi="Arial" w:cs="Arial"/>
                <w:sz w:val="20"/>
                <w:szCs w:val="20"/>
              </w:rPr>
              <w:t>£</w:t>
            </w:r>
            <w:r w:rsidRPr="00D63985">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noWrap/>
            <w:hideMark/>
          </w:tcPr>
          <w:p w14:paraId="4E6B267B" w14:textId="69167CBE" w:rsidR="00450938" w:rsidRPr="00D63985" w:rsidRDefault="00450938" w:rsidP="004D35AB">
            <w:pPr>
              <w:jc w:val="right"/>
              <w:rPr>
                <w:rFonts w:ascii="Arial" w:hAnsi="Arial" w:cs="Arial"/>
                <w:sz w:val="20"/>
                <w:szCs w:val="20"/>
              </w:rPr>
            </w:pPr>
            <w:r w:rsidRPr="00D63985">
              <w:rPr>
                <w:rFonts w:ascii="Arial" w:hAnsi="Arial" w:cs="Arial"/>
                <w:sz w:val="20"/>
                <w:szCs w:val="20"/>
              </w:rPr>
              <w:t xml:space="preserve">Above </w:t>
            </w:r>
            <w:r w:rsidR="00695619">
              <w:rPr>
                <w:rFonts w:ascii="Arial" w:hAnsi="Arial" w:cs="Arial"/>
                <w:sz w:val="20"/>
                <w:szCs w:val="20"/>
              </w:rPr>
              <w:t>£</w:t>
            </w:r>
            <w:r w:rsidRPr="00D63985">
              <w:rPr>
                <w:rFonts w:ascii="Arial" w:hAnsi="Arial" w:cs="Arial"/>
                <w:sz w:val="20"/>
                <w:szCs w:val="20"/>
              </w:rPr>
              <w:t>150,000</w:t>
            </w:r>
          </w:p>
        </w:tc>
      </w:tr>
      <w:tr w:rsidR="009831B5" w:rsidRPr="00EF34F1" w14:paraId="6FDF19F3"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shd w:val="clear" w:color="auto" w:fill="auto"/>
            <w:noWrap/>
          </w:tcPr>
          <w:p w14:paraId="6ECA85AD" w14:textId="04122B81" w:rsidR="009831B5" w:rsidRPr="00C4438E" w:rsidRDefault="003552AD" w:rsidP="00390742">
            <w:pPr>
              <w:autoSpaceDE w:val="0"/>
              <w:autoSpaceDN w:val="0"/>
              <w:spacing w:before="40" w:after="40" w:line="240" w:lineRule="auto"/>
              <w:rPr>
                <w:rFonts w:ascii="Arial" w:hAnsi="Arial" w:cs="Arial"/>
                <w:bCs/>
                <w:i/>
                <w:sz w:val="18"/>
                <w:szCs w:val="18"/>
              </w:rPr>
            </w:pPr>
            <w:r w:rsidRPr="00C4438E">
              <w:rPr>
                <w:rFonts w:ascii="Arial" w:hAnsi="Arial" w:cs="Arial"/>
                <w:bCs/>
                <w:i/>
                <w:sz w:val="18"/>
                <w:szCs w:val="18"/>
              </w:rPr>
              <w:t xml:space="preserve">Note </w:t>
            </w:r>
            <w:r w:rsidR="002079C2" w:rsidRPr="00C4438E">
              <w:rPr>
                <w:rFonts w:ascii="Arial" w:hAnsi="Arial" w:cs="Arial"/>
                <w:bCs/>
                <w:i/>
                <w:sz w:val="18"/>
                <w:szCs w:val="18"/>
              </w:rPr>
              <w:t>1: Welsh</w:t>
            </w:r>
            <w:r w:rsidRPr="00C4438E">
              <w:rPr>
                <w:rFonts w:ascii="Arial" w:hAnsi="Arial" w:cs="Arial"/>
                <w:bCs/>
                <w:i/>
                <w:sz w:val="18"/>
                <w:szCs w:val="18"/>
              </w:rPr>
              <w:t xml:space="preserve"> income tax rates and thresholds are subject to parliamentary approval</w:t>
            </w:r>
            <w:r w:rsidR="00A92FCE" w:rsidRPr="00C4438E">
              <w:rPr>
                <w:rFonts w:ascii="Arial" w:hAnsi="Arial" w:cs="Arial"/>
                <w:bCs/>
                <w:i/>
                <w:sz w:val="18"/>
                <w:szCs w:val="18"/>
              </w:rPr>
              <w:t xml:space="preserve">, however the Welsh Government has made a commitment not to raise Welsh </w:t>
            </w:r>
            <w:r w:rsidR="00EF5DDD">
              <w:rPr>
                <w:rFonts w:ascii="Arial" w:hAnsi="Arial" w:cs="Arial"/>
                <w:bCs/>
                <w:i/>
                <w:sz w:val="18"/>
                <w:szCs w:val="18"/>
              </w:rPr>
              <w:t>r</w:t>
            </w:r>
            <w:r w:rsidR="00A92FCE" w:rsidRPr="00C4438E">
              <w:rPr>
                <w:rFonts w:ascii="Arial" w:hAnsi="Arial" w:cs="Arial"/>
                <w:bCs/>
                <w:i/>
                <w:sz w:val="18"/>
                <w:szCs w:val="18"/>
              </w:rPr>
              <w:t xml:space="preserve">ates of </w:t>
            </w:r>
            <w:r w:rsidR="00EF5DDD">
              <w:rPr>
                <w:rFonts w:ascii="Arial" w:hAnsi="Arial" w:cs="Arial"/>
                <w:bCs/>
                <w:i/>
                <w:sz w:val="18"/>
                <w:szCs w:val="18"/>
              </w:rPr>
              <w:t>i</w:t>
            </w:r>
            <w:r w:rsidR="00A92FCE" w:rsidRPr="00C4438E">
              <w:rPr>
                <w:rFonts w:ascii="Arial" w:hAnsi="Arial" w:cs="Arial"/>
                <w:bCs/>
                <w:i/>
                <w:sz w:val="18"/>
                <w:szCs w:val="18"/>
              </w:rPr>
              <w:t xml:space="preserve">ncome </w:t>
            </w:r>
            <w:r w:rsidR="00EF5DDD">
              <w:rPr>
                <w:rFonts w:ascii="Arial" w:hAnsi="Arial" w:cs="Arial"/>
                <w:bCs/>
                <w:i/>
                <w:sz w:val="18"/>
                <w:szCs w:val="18"/>
              </w:rPr>
              <w:t>t</w:t>
            </w:r>
            <w:r w:rsidR="00A92FCE" w:rsidRPr="00C4438E">
              <w:rPr>
                <w:rFonts w:ascii="Arial" w:hAnsi="Arial" w:cs="Arial"/>
                <w:bCs/>
                <w:i/>
                <w:sz w:val="18"/>
                <w:szCs w:val="18"/>
              </w:rPr>
              <w:t>ax</w:t>
            </w:r>
            <w:r w:rsidR="001B1293" w:rsidRPr="00C4438E">
              <w:rPr>
                <w:rFonts w:ascii="Arial" w:hAnsi="Arial" w:cs="Arial"/>
                <w:bCs/>
                <w:i/>
                <w:sz w:val="18"/>
                <w:szCs w:val="18"/>
              </w:rPr>
              <w:t>. T</w:t>
            </w:r>
            <w:r w:rsidR="00A92FCE" w:rsidRPr="00C4438E">
              <w:rPr>
                <w:rFonts w:ascii="Arial" w:hAnsi="Arial" w:cs="Arial"/>
                <w:bCs/>
                <w:i/>
                <w:sz w:val="18"/>
                <w:szCs w:val="18"/>
              </w:rPr>
              <w:t xml:space="preserve">herefore, Welsh taxpayers will continue to pay the same rates as their English and Northern Irish counterparts. </w:t>
            </w:r>
          </w:p>
          <w:p w14:paraId="1BE4A7C1" w14:textId="447E225E" w:rsidR="00E000FA" w:rsidRDefault="00F7409A" w:rsidP="00390742">
            <w:pPr>
              <w:autoSpaceDE w:val="0"/>
              <w:autoSpaceDN w:val="0"/>
              <w:spacing w:before="40" w:after="40" w:line="240" w:lineRule="auto"/>
              <w:rPr>
                <w:rFonts w:ascii="Arial" w:hAnsi="Arial" w:cs="Arial"/>
                <w:bCs/>
                <w:i/>
                <w:sz w:val="18"/>
                <w:szCs w:val="18"/>
              </w:rPr>
            </w:pPr>
            <w:r w:rsidRPr="00C4438E">
              <w:rPr>
                <w:rFonts w:ascii="Arial" w:hAnsi="Arial" w:cs="Arial"/>
                <w:bCs/>
                <w:i/>
                <w:sz w:val="18"/>
                <w:szCs w:val="18"/>
              </w:rPr>
              <w:t>The</w:t>
            </w:r>
            <w:r w:rsidR="00B723D6" w:rsidRPr="00C4438E">
              <w:rPr>
                <w:rFonts w:ascii="Arial" w:hAnsi="Arial" w:cs="Arial"/>
                <w:bCs/>
                <w:i/>
                <w:sz w:val="18"/>
                <w:szCs w:val="18"/>
              </w:rPr>
              <w:t xml:space="preserve"> </w:t>
            </w:r>
            <w:r w:rsidR="00EF5DDD">
              <w:rPr>
                <w:rFonts w:ascii="Arial" w:hAnsi="Arial" w:cs="Arial"/>
                <w:bCs/>
                <w:i/>
                <w:sz w:val="18"/>
                <w:szCs w:val="18"/>
              </w:rPr>
              <w:t>i</w:t>
            </w:r>
            <w:r w:rsidR="00E000FA" w:rsidRPr="00C4438E">
              <w:rPr>
                <w:rFonts w:ascii="Arial" w:hAnsi="Arial" w:cs="Arial"/>
                <w:bCs/>
                <w:i/>
                <w:sz w:val="18"/>
                <w:szCs w:val="18"/>
              </w:rPr>
              <w:t xml:space="preserve">ncome tax </w:t>
            </w:r>
            <w:r w:rsidRPr="00C4438E">
              <w:rPr>
                <w:rFonts w:ascii="Arial" w:hAnsi="Arial" w:cs="Arial"/>
                <w:bCs/>
                <w:i/>
                <w:sz w:val="18"/>
                <w:szCs w:val="18"/>
              </w:rPr>
              <w:t xml:space="preserve">bands </w:t>
            </w:r>
            <w:r w:rsidR="00B723D6" w:rsidRPr="00D63985">
              <w:rPr>
                <w:rFonts w:ascii="Arial" w:hAnsi="Arial" w:cs="Arial"/>
                <w:bCs/>
                <w:i/>
                <w:sz w:val="18"/>
                <w:szCs w:val="18"/>
              </w:rPr>
              <w:t xml:space="preserve">will </w:t>
            </w:r>
            <w:r w:rsidR="00BF6CAB" w:rsidRPr="00D63985">
              <w:rPr>
                <w:rFonts w:ascii="Arial" w:hAnsi="Arial" w:cs="Arial"/>
                <w:bCs/>
                <w:i/>
                <w:sz w:val="18"/>
                <w:szCs w:val="18"/>
              </w:rPr>
              <w:t xml:space="preserve">remain </w:t>
            </w:r>
            <w:r w:rsidRPr="00D63985">
              <w:rPr>
                <w:rFonts w:ascii="Arial" w:hAnsi="Arial" w:cs="Arial"/>
                <w:bCs/>
                <w:i/>
                <w:sz w:val="18"/>
                <w:szCs w:val="18"/>
              </w:rPr>
              <w:t xml:space="preserve">frozen </w:t>
            </w:r>
            <w:r w:rsidR="00BF6CAB" w:rsidRPr="00D63985">
              <w:rPr>
                <w:rFonts w:ascii="Arial" w:hAnsi="Arial" w:cs="Arial"/>
                <w:bCs/>
                <w:i/>
                <w:sz w:val="18"/>
                <w:szCs w:val="18"/>
              </w:rPr>
              <w:t>until tax year 2025</w:t>
            </w:r>
            <w:r w:rsidR="00EF5DDD">
              <w:rPr>
                <w:rFonts w:ascii="Arial" w:hAnsi="Arial" w:cs="Arial"/>
                <w:bCs/>
                <w:i/>
                <w:sz w:val="18"/>
                <w:szCs w:val="18"/>
              </w:rPr>
              <w:t>/</w:t>
            </w:r>
            <w:r w:rsidR="00BF6CAB" w:rsidRPr="00D63985">
              <w:rPr>
                <w:rFonts w:ascii="Arial" w:hAnsi="Arial" w:cs="Arial"/>
                <w:bCs/>
                <w:i/>
                <w:sz w:val="18"/>
                <w:szCs w:val="18"/>
              </w:rPr>
              <w:t>26.</w:t>
            </w:r>
          </w:p>
          <w:p w14:paraId="35F93934" w14:textId="4D88D24E" w:rsidR="00EE2CD6" w:rsidRPr="00794277" w:rsidRDefault="00794277" w:rsidP="00794277">
            <w:pPr>
              <w:autoSpaceDE w:val="0"/>
              <w:autoSpaceDN w:val="0"/>
              <w:spacing w:before="40" w:after="40" w:line="240" w:lineRule="auto"/>
              <w:rPr>
                <w:rFonts w:ascii="Arial" w:hAnsi="Arial" w:cs="Arial"/>
                <w:bCs/>
                <w:i/>
                <w:sz w:val="18"/>
                <w:szCs w:val="18"/>
              </w:rPr>
            </w:pPr>
            <w:r w:rsidRPr="00794277">
              <w:rPr>
                <w:rFonts w:ascii="Arial" w:hAnsi="Arial" w:cs="Arial"/>
                <w:bCs/>
                <w:i/>
                <w:sz w:val="18"/>
                <w:szCs w:val="18"/>
              </w:rPr>
              <w:t xml:space="preserve">* </w:t>
            </w:r>
            <w:r w:rsidR="00EE2CD6" w:rsidRPr="00794277">
              <w:rPr>
                <w:rFonts w:ascii="Arial" w:hAnsi="Arial" w:cs="Arial"/>
                <w:bCs/>
                <w:i/>
                <w:sz w:val="18"/>
                <w:szCs w:val="18"/>
              </w:rPr>
              <w:t>The</w:t>
            </w:r>
            <w:r w:rsidR="00725B99">
              <w:rPr>
                <w:rFonts w:ascii="Arial" w:hAnsi="Arial" w:cs="Arial"/>
                <w:bCs/>
                <w:i/>
                <w:sz w:val="18"/>
                <w:szCs w:val="18"/>
              </w:rPr>
              <w:t xml:space="preserve"> Chancellor announced in the Spring Statement that the</w:t>
            </w:r>
            <w:r w:rsidR="00EE2CD6" w:rsidRPr="00794277">
              <w:rPr>
                <w:rFonts w:ascii="Arial" w:hAnsi="Arial" w:cs="Arial"/>
                <w:bCs/>
                <w:i/>
                <w:sz w:val="18"/>
                <w:szCs w:val="18"/>
              </w:rPr>
              <w:t xml:space="preserve"> basic rate of income tax </w:t>
            </w:r>
            <w:r w:rsidR="00725B99">
              <w:rPr>
                <w:rFonts w:ascii="Arial" w:hAnsi="Arial" w:cs="Arial"/>
                <w:bCs/>
                <w:i/>
                <w:sz w:val="18"/>
                <w:szCs w:val="18"/>
              </w:rPr>
              <w:t>will</w:t>
            </w:r>
            <w:r w:rsidR="00EE2CD6" w:rsidRPr="00794277">
              <w:rPr>
                <w:rFonts w:ascii="Arial" w:hAnsi="Arial" w:cs="Arial"/>
                <w:bCs/>
                <w:i/>
                <w:sz w:val="18"/>
                <w:szCs w:val="18"/>
              </w:rPr>
              <w:t xml:space="preserve"> be reduced from 20% to 19% from April 2024.</w:t>
            </w:r>
          </w:p>
          <w:p w14:paraId="3F530B23" w14:textId="72E0247C" w:rsidR="00EF6E30" w:rsidRPr="00BA5F4C" w:rsidRDefault="00EF6E30" w:rsidP="00390742">
            <w:pPr>
              <w:autoSpaceDE w:val="0"/>
              <w:autoSpaceDN w:val="0"/>
              <w:spacing w:before="40" w:after="40" w:line="240" w:lineRule="auto"/>
              <w:rPr>
                <w:rFonts w:ascii="Arial" w:hAnsi="Arial" w:cs="Arial"/>
                <w:b/>
                <w:bCs/>
                <w:sz w:val="20"/>
                <w:szCs w:val="20"/>
              </w:rPr>
            </w:pPr>
          </w:p>
        </w:tc>
      </w:tr>
      <w:tr w:rsidR="00450938" w:rsidRPr="00EF34F1" w14:paraId="3AC4D08D"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1BBC016" w14:textId="090F9149" w:rsidR="00450938" w:rsidRPr="00EF34F1" w:rsidRDefault="00450938">
            <w:pPr>
              <w:rPr>
                <w:rFonts w:ascii="Arial" w:hAnsi="Arial" w:cs="Arial"/>
                <w:b/>
                <w:bCs/>
                <w:sz w:val="20"/>
                <w:szCs w:val="20"/>
              </w:rPr>
            </w:pPr>
            <w:r w:rsidRPr="00EF34F1">
              <w:rPr>
                <w:rFonts w:ascii="Arial" w:hAnsi="Arial" w:cs="Arial"/>
                <w:b/>
                <w:bCs/>
                <w:sz w:val="20"/>
                <w:szCs w:val="20"/>
              </w:rPr>
              <w:t xml:space="preserve">Scottish rates of income tax (non-dividend income) </w:t>
            </w:r>
            <w:r w:rsidR="0055296F">
              <w:rPr>
                <w:rFonts w:ascii="Arial" w:hAnsi="Arial" w:cs="Arial"/>
                <w:b/>
                <w:bCs/>
                <w:sz w:val="20"/>
                <w:szCs w:val="20"/>
              </w:rPr>
              <w:t>(</w:t>
            </w:r>
            <w:r w:rsidR="0059276C">
              <w:rPr>
                <w:rFonts w:ascii="Arial" w:hAnsi="Arial" w:cs="Arial"/>
                <w:b/>
                <w:bCs/>
                <w:sz w:val="20"/>
                <w:szCs w:val="20"/>
              </w:rPr>
              <w:t>n</w:t>
            </w:r>
            <w:r w:rsidR="0055296F">
              <w:rPr>
                <w:rFonts w:ascii="Arial" w:hAnsi="Arial" w:cs="Arial"/>
                <w:b/>
                <w:bCs/>
                <w:sz w:val="20"/>
                <w:szCs w:val="20"/>
              </w:rPr>
              <w:t>ote 2</w:t>
            </w:r>
            <w:r w:rsidR="006C0EC8">
              <w:rPr>
                <w:rFonts w:ascii="Arial" w:hAnsi="Arial" w:cs="Arial"/>
                <w:b/>
                <w:bCs/>
                <w:sz w:val="20"/>
                <w:szCs w:val="20"/>
              </w:rPr>
              <w:t>)</w:t>
            </w:r>
            <w:r w:rsidRPr="00EF34F1">
              <w:rPr>
                <w:rFonts w:ascii="Arial" w:hAnsi="Arial" w:cs="Arial"/>
                <w:b/>
                <w:bCs/>
                <w:sz w:val="20"/>
                <w:szCs w:val="20"/>
              </w:rPr>
              <w:t xml:space="preserve">                                               </w:t>
            </w:r>
          </w:p>
        </w:tc>
      </w:tr>
      <w:tr w:rsidR="0088104D" w:rsidRPr="00EF34F1" w14:paraId="163DB7C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2B8192C8" w14:textId="77777777" w:rsidR="0088104D" w:rsidRPr="00EF34F1" w:rsidRDefault="0088104D" w:rsidP="0088104D">
            <w:pPr>
              <w:rPr>
                <w:rFonts w:ascii="Arial" w:hAnsi="Arial" w:cs="Arial"/>
                <w:sz w:val="20"/>
                <w:szCs w:val="20"/>
              </w:rPr>
            </w:pPr>
            <w:r w:rsidRPr="00EF34F1">
              <w:rPr>
                <w:rFonts w:ascii="Arial" w:hAnsi="Arial" w:cs="Arial"/>
                <w:sz w:val="20"/>
                <w:szCs w:val="20"/>
              </w:rPr>
              <w:t xml:space="preserve">19% starting rate </w:t>
            </w:r>
          </w:p>
        </w:tc>
        <w:tc>
          <w:tcPr>
            <w:tcW w:w="1984" w:type="dxa"/>
            <w:gridSpan w:val="4"/>
            <w:tcBorders>
              <w:top w:val="single" w:sz="4" w:space="0" w:color="auto"/>
              <w:left w:val="single" w:sz="4" w:space="0" w:color="auto"/>
              <w:bottom w:val="single" w:sz="4" w:space="0" w:color="auto"/>
              <w:right w:val="single" w:sz="4" w:space="0" w:color="auto"/>
            </w:tcBorders>
          </w:tcPr>
          <w:p w14:paraId="24E8C92A" w14:textId="53B08AE2" w:rsidR="0088104D" w:rsidRPr="004732F1" w:rsidRDefault="0027013D" w:rsidP="0088104D">
            <w:pPr>
              <w:jc w:val="right"/>
              <w:rPr>
                <w:rFonts w:ascii="Arial" w:hAnsi="Arial" w:cs="Arial"/>
                <w:sz w:val="20"/>
                <w:szCs w:val="20"/>
              </w:rPr>
            </w:pPr>
            <w:r w:rsidRPr="004732F1">
              <w:rPr>
                <w:rFonts w:ascii="Arial" w:hAnsi="Arial" w:cs="Arial"/>
                <w:sz w:val="20"/>
                <w:szCs w:val="20"/>
              </w:rPr>
              <w:t>£</w:t>
            </w:r>
            <w:r w:rsidR="0088104D" w:rsidRPr="004732F1">
              <w:rPr>
                <w:rFonts w:ascii="Arial" w:hAnsi="Arial" w:cs="Arial"/>
                <w:sz w:val="20"/>
                <w:szCs w:val="20"/>
              </w:rPr>
              <w:t>12,571-</w:t>
            </w:r>
            <w:r w:rsidRPr="004732F1">
              <w:rPr>
                <w:rFonts w:ascii="Arial" w:hAnsi="Arial" w:cs="Arial"/>
                <w:sz w:val="20"/>
                <w:szCs w:val="20"/>
              </w:rPr>
              <w:t>£</w:t>
            </w:r>
            <w:r w:rsidR="0088104D" w:rsidRPr="004732F1">
              <w:rPr>
                <w:rFonts w:ascii="Arial" w:hAnsi="Arial" w:cs="Arial"/>
                <w:sz w:val="20"/>
                <w:szCs w:val="20"/>
              </w:rPr>
              <w:t>14,</w:t>
            </w:r>
            <w:r w:rsidR="004732F1" w:rsidRPr="004732F1">
              <w:rPr>
                <w:rFonts w:ascii="Arial" w:hAnsi="Arial" w:cs="Arial"/>
                <w:sz w:val="20"/>
                <w:szCs w:val="20"/>
              </w:rPr>
              <w:t>732</w:t>
            </w:r>
          </w:p>
        </w:tc>
        <w:tc>
          <w:tcPr>
            <w:tcW w:w="1985" w:type="dxa"/>
            <w:gridSpan w:val="4"/>
            <w:tcBorders>
              <w:top w:val="single" w:sz="4" w:space="0" w:color="auto"/>
              <w:left w:val="single" w:sz="4" w:space="0" w:color="auto"/>
              <w:bottom w:val="single" w:sz="4" w:space="0" w:color="auto"/>
              <w:right w:val="single" w:sz="4" w:space="0" w:color="auto"/>
            </w:tcBorders>
            <w:hideMark/>
          </w:tcPr>
          <w:p w14:paraId="117A272E" w14:textId="15E7322F"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12,571-</w:t>
            </w:r>
            <w:r>
              <w:rPr>
                <w:rFonts w:ascii="Arial" w:hAnsi="Arial" w:cs="Arial"/>
                <w:sz w:val="20"/>
                <w:szCs w:val="20"/>
              </w:rPr>
              <w:t>£</w:t>
            </w:r>
            <w:r w:rsidR="0088104D" w:rsidRPr="008C3BA3">
              <w:rPr>
                <w:rFonts w:ascii="Arial" w:hAnsi="Arial" w:cs="Arial"/>
                <w:sz w:val="20"/>
                <w:szCs w:val="20"/>
              </w:rPr>
              <w:t>14,667</w:t>
            </w:r>
          </w:p>
        </w:tc>
      </w:tr>
      <w:tr w:rsidR="0088104D" w:rsidRPr="00EF34F1" w14:paraId="30C918C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58C0EDC4" w14:textId="77777777" w:rsidR="0088104D" w:rsidRPr="00EE2CD6" w:rsidRDefault="0088104D" w:rsidP="0088104D">
            <w:pPr>
              <w:rPr>
                <w:rFonts w:ascii="Arial" w:hAnsi="Arial" w:cs="Arial"/>
                <w:sz w:val="20"/>
                <w:szCs w:val="20"/>
              </w:rPr>
            </w:pPr>
            <w:r w:rsidRPr="00EE2CD6">
              <w:rPr>
                <w:rFonts w:ascii="Arial" w:hAnsi="Arial" w:cs="Arial"/>
                <w:sz w:val="20"/>
                <w:szCs w:val="20"/>
              </w:rPr>
              <w:t>20% basic rate tax</w:t>
            </w:r>
          </w:p>
        </w:tc>
        <w:tc>
          <w:tcPr>
            <w:tcW w:w="1984" w:type="dxa"/>
            <w:gridSpan w:val="4"/>
            <w:tcBorders>
              <w:top w:val="single" w:sz="4" w:space="0" w:color="auto"/>
              <w:left w:val="single" w:sz="4" w:space="0" w:color="auto"/>
              <w:bottom w:val="single" w:sz="4" w:space="0" w:color="auto"/>
              <w:right w:val="single" w:sz="4" w:space="0" w:color="auto"/>
            </w:tcBorders>
          </w:tcPr>
          <w:p w14:paraId="7C6E5E2D" w14:textId="6F585B9D" w:rsidR="0088104D" w:rsidRPr="00EE2CD6" w:rsidRDefault="0027013D" w:rsidP="0088104D">
            <w:pPr>
              <w:jc w:val="right"/>
              <w:rPr>
                <w:rFonts w:ascii="Arial" w:hAnsi="Arial" w:cs="Arial"/>
                <w:sz w:val="20"/>
                <w:szCs w:val="20"/>
              </w:rPr>
            </w:pPr>
            <w:r w:rsidRPr="00EE2CD6">
              <w:rPr>
                <w:rFonts w:ascii="Arial" w:hAnsi="Arial" w:cs="Arial"/>
                <w:sz w:val="20"/>
                <w:szCs w:val="20"/>
              </w:rPr>
              <w:t>£</w:t>
            </w:r>
            <w:r w:rsidR="0088104D" w:rsidRPr="00EE2CD6">
              <w:rPr>
                <w:rFonts w:ascii="Arial" w:hAnsi="Arial" w:cs="Arial"/>
                <w:sz w:val="20"/>
                <w:szCs w:val="20"/>
              </w:rPr>
              <w:t>14,</w:t>
            </w:r>
            <w:r w:rsidR="004732F1" w:rsidRPr="00EE2CD6">
              <w:rPr>
                <w:rFonts w:ascii="Arial" w:hAnsi="Arial" w:cs="Arial"/>
                <w:sz w:val="20"/>
                <w:szCs w:val="20"/>
              </w:rPr>
              <w:t>733</w:t>
            </w:r>
            <w:r w:rsidR="0088104D" w:rsidRPr="00EE2CD6">
              <w:rPr>
                <w:rFonts w:ascii="Arial" w:hAnsi="Arial" w:cs="Arial"/>
                <w:sz w:val="20"/>
                <w:szCs w:val="20"/>
              </w:rPr>
              <w:t>-</w:t>
            </w:r>
            <w:r w:rsidRPr="00EE2CD6">
              <w:rPr>
                <w:rFonts w:ascii="Arial" w:hAnsi="Arial" w:cs="Arial"/>
                <w:sz w:val="20"/>
                <w:szCs w:val="20"/>
              </w:rPr>
              <w:t>£</w:t>
            </w:r>
            <w:r w:rsidR="0088104D" w:rsidRPr="00EE2CD6">
              <w:rPr>
                <w:rFonts w:ascii="Arial" w:hAnsi="Arial" w:cs="Arial"/>
                <w:sz w:val="20"/>
                <w:szCs w:val="20"/>
              </w:rPr>
              <w:t>25,</w:t>
            </w:r>
            <w:r w:rsidR="004732F1" w:rsidRPr="00EE2CD6">
              <w:rPr>
                <w:rFonts w:ascii="Arial" w:hAnsi="Arial" w:cs="Arial"/>
                <w:sz w:val="20"/>
                <w:szCs w:val="20"/>
              </w:rPr>
              <w:t>688</w:t>
            </w:r>
          </w:p>
        </w:tc>
        <w:tc>
          <w:tcPr>
            <w:tcW w:w="1985" w:type="dxa"/>
            <w:gridSpan w:val="4"/>
            <w:tcBorders>
              <w:top w:val="single" w:sz="4" w:space="0" w:color="auto"/>
              <w:left w:val="single" w:sz="4" w:space="0" w:color="auto"/>
              <w:bottom w:val="single" w:sz="4" w:space="0" w:color="auto"/>
              <w:right w:val="single" w:sz="4" w:space="0" w:color="auto"/>
            </w:tcBorders>
            <w:hideMark/>
          </w:tcPr>
          <w:p w14:paraId="311FECB8" w14:textId="10961387"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14,668-</w:t>
            </w:r>
            <w:r>
              <w:rPr>
                <w:rFonts w:ascii="Arial" w:hAnsi="Arial" w:cs="Arial"/>
                <w:sz w:val="20"/>
                <w:szCs w:val="20"/>
              </w:rPr>
              <w:t>£</w:t>
            </w:r>
            <w:r w:rsidR="0088104D" w:rsidRPr="008C3BA3">
              <w:rPr>
                <w:rFonts w:ascii="Arial" w:hAnsi="Arial" w:cs="Arial"/>
                <w:sz w:val="20"/>
                <w:szCs w:val="20"/>
              </w:rPr>
              <w:t>25,296</w:t>
            </w:r>
          </w:p>
        </w:tc>
      </w:tr>
      <w:tr w:rsidR="0088104D" w:rsidRPr="00EF34F1" w14:paraId="3C1A9458"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2DC92EAA" w14:textId="77777777" w:rsidR="0088104D" w:rsidRPr="00EF34F1" w:rsidRDefault="0088104D" w:rsidP="0088104D">
            <w:pPr>
              <w:rPr>
                <w:rFonts w:ascii="Arial" w:hAnsi="Arial" w:cs="Arial"/>
                <w:sz w:val="20"/>
                <w:szCs w:val="20"/>
              </w:rPr>
            </w:pPr>
            <w:r w:rsidRPr="00EF34F1">
              <w:rPr>
                <w:rFonts w:ascii="Arial" w:hAnsi="Arial" w:cs="Arial"/>
                <w:sz w:val="20"/>
                <w:szCs w:val="20"/>
              </w:rPr>
              <w:t>21% intermediate rate tax</w:t>
            </w:r>
          </w:p>
        </w:tc>
        <w:tc>
          <w:tcPr>
            <w:tcW w:w="1984" w:type="dxa"/>
            <w:gridSpan w:val="4"/>
            <w:tcBorders>
              <w:top w:val="single" w:sz="4" w:space="0" w:color="auto"/>
              <w:left w:val="single" w:sz="4" w:space="0" w:color="auto"/>
              <w:bottom w:val="single" w:sz="4" w:space="0" w:color="auto"/>
              <w:right w:val="single" w:sz="4" w:space="0" w:color="auto"/>
            </w:tcBorders>
          </w:tcPr>
          <w:p w14:paraId="1A100075" w14:textId="6BAF250C" w:rsidR="0088104D" w:rsidRPr="004732F1" w:rsidRDefault="0027013D" w:rsidP="0088104D">
            <w:pPr>
              <w:jc w:val="right"/>
              <w:rPr>
                <w:rFonts w:ascii="Arial" w:hAnsi="Arial" w:cs="Arial"/>
                <w:sz w:val="20"/>
                <w:szCs w:val="20"/>
              </w:rPr>
            </w:pPr>
            <w:r w:rsidRPr="004732F1">
              <w:rPr>
                <w:rFonts w:ascii="Arial" w:hAnsi="Arial" w:cs="Arial"/>
                <w:sz w:val="20"/>
                <w:szCs w:val="20"/>
              </w:rPr>
              <w:t>£</w:t>
            </w:r>
            <w:r w:rsidR="0088104D" w:rsidRPr="004732F1">
              <w:rPr>
                <w:rFonts w:ascii="Arial" w:hAnsi="Arial" w:cs="Arial"/>
                <w:sz w:val="20"/>
                <w:szCs w:val="20"/>
              </w:rPr>
              <w:t>25,</w:t>
            </w:r>
            <w:r w:rsidR="004732F1" w:rsidRPr="004732F1">
              <w:rPr>
                <w:rFonts w:ascii="Arial" w:hAnsi="Arial" w:cs="Arial"/>
                <w:sz w:val="20"/>
                <w:szCs w:val="20"/>
              </w:rPr>
              <w:t>689</w:t>
            </w:r>
            <w:r w:rsidR="0088104D" w:rsidRPr="004732F1">
              <w:rPr>
                <w:rFonts w:ascii="Arial" w:hAnsi="Arial" w:cs="Arial"/>
                <w:sz w:val="20"/>
                <w:szCs w:val="20"/>
              </w:rPr>
              <w:t>-</w:t>
            </w:r>
            <w:r w:rsidRPr="004732F1">
              <w:rPr>
                <w:rFonts w:ascii="Arial" w:hAnsi="Arial" w:cs="Arial"/>
                <w:sz w:val="20"/>
                <w:szCs w:val="20"/>
              </w:rPr>
              <w:t>£</w:t>
            </w:r>
            <w:r w:rsidR="0088104D" w:rsidRPr="004732F1">
              <w:rPr>
                <w:rFonts w:ascii="Arial" w:hAnsi="Arial" w:cs="Arial"/>
                <w:sz w:val="20"/>
                <w:szCs w:val="20"/>
              </w:rPr>
              <w:t>43,662</w:t>
            </w:r>
          </w:p>
        </w:tc>
        <w:tc>
          <w:tcPr>
            <w:tcW w:w="1985" w:type="dxa"/>
            <w:gridSpan w:val="4"/>
            <w:tcBorders>
              <w:top w:val="single" w:sz="4" w:space="0" w:color="auto"/>
              <w:left w:val="single" w:sz="4" w:space="0" w:color="auto"/>
              <w:bottom w:val="single" w:sz="4" w:space="0" w:color="auto"/>
              <w:right w:val="single" w:sz="4" w:space="0" w:color="auto"/>
            </w:tcBorders>
            <w:hideMark/>
          </w:tcPr>
          <w:p w14:paraId="72EE5407" w14:textId="5780C9E9"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25,297-</w:t>
            </w:r>
            <w:r>
              <w:rPr>
                <w:rFonts w:ascii="Arial" w:hAnsi="Arial" w:cs="Arial"/>
                <w:sz w:val="20"/>
                <w:szCs w:val="20"/>
              </w:rPr>
              <w:t>£</w:t>
            </w:r>
            <w:r w:rsidR="0088104D" w:rsidRPr="008C3BA3">
              <w:rPr>
                <w:rFonts w:ascii="Arial" w:hAnsi="Arial" w:cs="Arial"/>
                <w:sz w:val="20"/>
                <w:szCs w:val="20"/>
              </w:rPr>
              <w:t>43,662</w:t>
            </w:r>
          </w:p>
        </w:tc>
      </w:tr>
      <w:tr w:rsidR="0088104D" w:rsidRPr="00EF34F1" w14:paraId="0316058D"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hideMark/>
          </w:tcPr>
          <w:p w14:paraId="62B9BAED" w14:textId="77777777" w:rsidR="0088104D" w:rsidRPr="00EF34F1" w:rsidRDefault="0088104D" w:rsidP="0088104D">
            <w:pPr>
              <w:rPr>
                <w:rFonts w:ascii="Arial" w:hAnsi="Arial" w:cs="Arial"/>
                <w:sz w:val="20"/>
                <w:szCs w:val="20"/>
              </w:rPr>
            </w:pPr>
            <w:r w:rsidRPr="00EF34F1">
              <w:rPr>
                <w:rFonts w:ascii="Arial" w:hAnsi="Arial" w:cs="Arial"/>
                <w:sz w:val="20"/>
                <w:szCs w:val="20"/>
              </w:rPr>
              <w:t>41% higher rate tax</w:t>
            </w:r>
          </w:p>
        </w:tc>
        <w:tc>
          <w:tcPr>
            <w:tcW w:w="1984" w:type="dxa"/>
            <w:gridSpan w:val="4"/>
            <w:tcBorders>
              <w:top w:val="single" w:sz="4" w:space="0" w:color="auto"/>
              <w:left w:val="single" w:sz="4" w:space="0" w:color="auto"/>
              <w:bottom w:val="single" w:sz="4" w:space="0" w:color="auto"/>
              <w:right w:val="single" w:sz="4" w:space="0" w:color="auto"/>
            </w:tcBorders>
          </w:tcPr>
          <w:p w14:paraId="0A44F077" w14:textId="17912FC9" w:rsidR="0088104D" w:rsidRPr="004732F1" w:rsidRDefault="0027013D" w:rsidP="0088104D">
            <w:pPr>
              <w:jc w:val="right"/>
              <w:rPr>
                <w:rFonts w:ascii="Arial" w:hAnsi="Arial" w:cs="Arial"/>
                <w:sz w:val="20"/>
                <w:szCs w:val="20"/>
              </w:rPr>
            </w:pPr>
            <w:r w:rsidRPr="004732F1">
              <w:rPr>
                <w:rFonts w:ascii="Arial" w:hAnsi="Arial" w:cs="Arial"/>
                <w:sz w:val="20"/>
                <w:szCs w:val="20"/>
              </w:rPr>
              <w:t>£</w:t>
            </w:r>
            <w:r w:rsidR="0088104D" w:rsidRPr="004732F1">
              <w:rPr>
                <w:rFonts w:ascii="Arial" w:hAnsi="Arial" w:cs="Arial"/>
                <w:sz w:val="20"/>
                <w:szCs w:val="20"/>
              </w:rPr>
              <w:t>43,663-</w:t>
            </w:r>
            <w:r w:rsidRPr="004732F1">
              <w:rPr>
                <w:rFonts w:ascii="Arial" w:hAnsi="Arial" w:cs="Arial"/>
                <w:sz w:val="20"/>
                <w:szCs w:val="20"/>
              </w:rPr>
              <w:t>£</w:t>
            </w:r>
            <w:r w:rsidR="0088104D" w:rsidRPr="004732F1">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hideMark/>
          </w:tcPr>
          <w:p w14:paraId="11C9BAF5" w14:textId="5461B135" w:rsidR="0088104D" w:rsidRPr="008C3BA3" w:rsidRDefault="0027013D" w:rsidP="0088104D">
            <w:pPr>
              <w:jc w:val="right"/>
              <w:rPr>
                <w:rFonts w:ascii="Arial" w:hAnsi="Arial" w:cs="Arial"/>
                <w:sz w:val="20"/>
                <w:szCs w:val="20"/>
              </w:rPr>
            </w:pPr>
            <w:r>
              <w:rPr>
                <w:rFonts w:ascii="Arial" w:hAnsi="Arial" w:cs="Arial"/>
                <w:sz w:val="20"/>
                <w:szCs w:val="20"/>
              </w:rPr>
              <w:t>£</w:t>
            </w:r>
            <w:r w:rsidR="0088104D" w:rsidRPr="008C3BA3">
              <w:rPr>
                <w:rFonts w:ascii="Arial" w:hAnsi="Arial" w:cs="Arial"/>
                <w:sz w:val="20"/>
                <w:szCs w:val="20"/>
              </w:rPr>
              <w:t>43,663-</w:t>
            </w:r>
            <w:r>
              <w:rPr>
                <w:rFonts w:ascii="Arial" w:hAnsi="Arial" w:cs="Arial"/>
                <w:sz w:val="20"/>
                <w:szCs w:val="20"/>
              </w:rPr>
              <w:t>£</w:t>
            </w:r>
            <w:r w:rsidR="0088104D" w:rsidRPr="008C3BA3">
              <w:rPr>
                <w:rFonts w:ascii="Arial" w:hAnsi="Arial" w:cs="Arial"/>
                <w:sz w:val="20"/>
                <w:szCs w:val="20"/>
              </w:rPr>
              <w:t>150,000</w:t>
            </w:r>
          </w:p>
        </w:tc>
      </w:tr>
      <w:tr w:rsidR="0088104D" w:rsidRPr="00EF34F1" w14:paraId="78380FEE" w14:textId="77777777" w:rsidTr="00603322">
        <w:trPr>
          <w:gridAfter w:val="1"/>
          <w:wAfter w:w="236" w:type="dxa"/>
          <w:trHeight w:val="315"/>
        </w:trPr>
        <w:tc>
          <w:tcPr>
            <w:tcW w:w="5954" w:type="dxa"/>
            <w:gridSpan w:val="2"/>
            <w:tcBorders>
              <w:top w:val="single" w:sz="4" w:space="0" w:color="auto"/>
              <w:left w:val="single" w:sz="4" w:space="0" w:color="auto"/>
              <w:bottom w:val="single" w:sz="4" w:space="0" w:color="auto"/>
              <w:right w:val="single" w:sz="4" w:space="0" w:color="auto"/>
            </w:tcBorders>
            <w:noWrap/>
          </w:tcPr>
          <w:p w14:paraId="7EDF9CB4" w14:textId="77777777" w:rsidR="0088104D" w:rsidRPr="00EF34F1" w:rsidRDefault="0088104D" w:rsidP="0088104D">
            <w:pPr>
              <w:rPr>
                <w:rFonts w:ascii="Arial" w:hAnsi="Arial" w:cs="Arial"/>
                <w:sz w:val="20"/>
                <w:szCs w:val="20"/>
              </w:rPr>
            </w:pPr>
            <w:r w:rsidRPr="00EF34F1">
              <w:rPr>
                <w:rFonts w:ascii="Arial" w:hAnsi="Arial" w:cs="Arial"/>
                <w:sz w:val="20"/>
                <w:szCs w:val="20"/>
              </w:rPr>
              <w:t>46% top rate</w:t>
            </w:r>
          </w:p>
        </w:tc>
        <w:tc>
          <w:tcPr>
            <w:tcW w:w="1984" w:type="dxa"/>
            <w:gridSpan w:val="4"/>
            <w:tcBorders>
              <w:top w:val="single" w:sz="4" w:space="0" w:color="auto"/>
              <w:left w:val="single" w:sz="4" w:space="0" w:color="auto"/>
              <w:bottom w:val="single" w:sz="4" w:space="0" w:color="auto"/>
              <w:right w:val="single" w:sz="4" w:space="0" w:color="auto"/>
            </w:tcBorders>
          </w:tcPr>
          <w:p w14:paraId="638BA538" w14:textId="446E165D" w:rsidR="0088104D" w:rsidRPr="004732F1" w:rsidRDefault="0088104D" w:rsidP="0088104D">
            <w:pPr>
              <w:jc w:val="right"/>
              <w:rPr>
                <w:rFonts w:ascii="Arial" w:hAnsi="Arial" w:cs="Arial"/>
                <w:sz w:val="20"/>
                <w:szCs w:val="20"/>
              </w:rPr>
            </w:pPr>
            <w:r w:rsidRPr="004732F1">
              <w:rPr>
                <w:rFonts w:ascii="Arial" w:hAnsi="Arial" w:cs="Arial"/>
                <w:sz w:val="20"/>
                <w:szCs w:val="20"/>
              </w:rPr>
              <w:t xml:space="preserve">Above </w:t>
            </w:r>
            <w:r w:rsidR="0027013D" w:rsidRPr="004732F1">
              <w:rPr>
                <w:rFonts w:ascii="Arial" w:hAnsi="Arial" w:cs="Arial"/>
                <w:sz w:val="20"/>
                <w:szCs w:val="20"/>
              </w:rPr>
              <w:t>£</w:t>
            </w:r>
            <w:r w:rsidRPr="004732F1">
              <w:rPr>
                <w:rFonts w:ascii="Arial" w:hAnsi="Arial" w:cs="Arial"/>
                <w:sz w:val="20"/>
                <w:szCs w:val="20"/>
              </w:rPr>
              <w:t>150,000</w:t>
            </w:r>
          </w:p>
        </w:tc>
        <w:tc>
          <w:tcPr>
            <w:tcW w:w="1985" w:type="dxa"/>
            <w:gridSpan w:val="4"/>
            <w:tcBorders>
              <w:top w:val="single" w:sz="4" w:space="0" w:color="auto"/>
              <w:left w:val="single" w:sz="4" w:space="0" w:color="auto"/>
              <w:bottom w:val="single" w:sz="4" w:space="0" w:color="auto"/>
              <w:right w:val="single" w:sz="4" w:space="0" w:color="auto"/>
            </w:tcBorders>
          </w:tcPr>
          <w:p w14:paraId="7F4E419D" w14:textId="29F89A24" w:rsidR="0088104D" w:rsidRPr="008C3BA3" w:rsidRDefault="0088104D" w:rsidP="0088104D">
            <w:pPr>
              <w:jc w:val="right"/>
              <w:rPr>
                <w:rFonts w:ascii="Arial" w:hAnsi="Arial" w:cs="Arial"/>
                <w:sz w:val="20"/>
                <w:szCs w:val="20"/>
              </w:rPr>
            </w:pPr>
            <w:r w:rsidRPr="008C3BA3">
              <w:rPr>
                <w:rFonts w:ascii="Arial" w:hAnsi="Arial" w:cs="Arial"/>
                <w:sz w:val="20"/>
                <w:szCs w:val="20"/>
              </w:rPr>
              <w:t xml:space="preserve">Above </w:t>
            </w:r>
            <w:r w:rsidR="0027013D">
              <w:rPr>
                <w:rFonts w:ascii="Arial" w:hAnsi="Arial" w:cs="Arial"/>
                <w:sz w:val="20"/>
                <w:szCs w:val="20"/>
              </w:rPr>
              <w:t>£</w:t>
            </w:r>
            <w:r w:rsidRPr="008C3BA3">
              <w:rPr>
                <w:rFonts w:ascii="Arial" w:hAnsi="Arial" w:cs="Arial"/>
                <w:sz w:val="20"/>
                <w:szCs w:val="20"/>
              </w:rPr>
              <w:t>150,000</w:t>
            </w:r>
          </w:p>
        </w:tc>
      </w:tr>
      <w:tr w:rsidR="000775D6" w:rsidRPr="00EF34F1" w14:paraId="2AA2F17A"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1DF656B4" w14:textId="2765123C" w:rsidR="004732F1" w:rsidRDefault="000775D6" w:rsidP="004732F1">
            <w:pPr>
              <w:rPr>
                <w:rFonts w:ascii="Arial" w:hAnsi="Arial" w:cs="Arial"/>
                <w:bCs/>
                <w:i/>
                <w:sz w:val="18"/>
                <w:szCs w:val="18"/>
              </w:rPr>
            </w:pPr>
            <w:r w:rsidRPr="00C4438E">
              <w:rPr>
                <w:rFonts w:ascii="Arial" w:hAnsi="Arial" w:cs="Arial"/>
                <w:bCs/>
                <w:i/>
                <w:sz w:val="18"/>
                <w:szCs w:val="18"/>
              </w:rPr>
              <w:lastRenderedPageBreak/>
              <w:t xml:space="preserve">Note </w:t>
            </w:r>
            <w:r w:rsidR="0055296F" w:rsidRPr="00C4438E">
              <w:rPr>
                <w:rFonts w:ascii="Arial" w:hAnsi="Arial" w:cs="Arial"/>
                <w:bCs/>
                <w:i/>
                <w:sz w:val="18"/>
                <w:szCs w:val="18"/>
              </w:rPr>
              <w:t>2</w:t>
            </w:r>
            <w:r w:rsidR="00827DF3" w:rsidRPr="00C4438E">
              <w:rPr>
                <w:rFonts w:ascii="Arial" w:hAnsi="Arial" w:cs="Arial"/>
                <w:bCs/>
                <w:i/>
                <w:sz w:val="18"/>
                <w:szCs w:val="18"/>
              </w:rPr>
              <w:t>:</w:t>
            </w:r>
            <w:r w:rsidRPr="00C4438E">
              <w:rPr>
                <w:rFonts w:ascii="Arial" w:hAnsi="Arial" w:cs="Arial"/>
                <w:bCs/>
                <w:i/>
                <w:sz w:val="18"/>
                <w:szCs w:val="18"/>
              </w:rPr>
              <w:t xml:space="preserve"> Scottish taxpayers pay the same tax as the rest of the UK on dividends and saving</w:t>
            </w:r>
            <w:r w:rsidR="00CB3AD0" w:rsidRPr="00C4438E">
              <w:rPr>
                <w:rFonts w:ascii="Arial" w:hAnsi="Arial" w:cs="Arial"/>
                <w:bCs/>
                <w:i/>
                <w:sz w:val="18"/>
                <w:szCs w:val="18"/>
              </w:rPr>
              <w:t>s</w:t>
            </w:r>
            <w:r w:rsidRPr="00C4438E">
              <w:rPr>
                <w:rFonts w:ascii="Arial" w:hAnsi="Arial" w:cs="Arial"/>
                <w:bCs/>
                <w:i/>
                <w:sz w:val="18"/>
                <w:szCs w:val="18"/>
              </w:rPr>
              <w:t xml:space="preserve"> interest. </w:t>
            </w:r>
            <w:r w:rsidR="007543B5" w:rsidRPr="00C4438E">
              <w:rPr>
                <w:rFonts w:ascii="Arial" w:hAnsi="Arial" w:cs="Arial"/>
                <w:bCs/>
                <w:i/>
                <w:sz w:val="18"/>
                <w:szCs w:val="18"/>
              </w:rPr>
              <w:t>Scottish income tax rates and thresholds are subject to parliamentary approval</w:t>
            </w:r>
            <w:r w:rsidR="00232843" w:rsidRPr="00C4438E">
              <w:rPr>
                <w:rFonts w:ascii="Arial" w:hAnsi="Arial" w:cs="Arial"/>
                <w:bCs/>
                <w:i/>
                <w:sz w:val="18"/>
                <w:szCs w:val="18"/>
              </w:rPr>
              <w:t>.</w:t>
            </w:r>
            <w:r w:rsidR="00D72BAF">
              <w:rPr>
                <w:rFonts w:ascii="Arial" w:hAnsi="Arial" w:cs="Arial"/>
                <w:bCs/>
                <w:i/>
                <w:sz w:val="18"/>
                <w:szCs w:val="18"/>
              </w:rPr>
              <w:t xml:space="preserve"> </w:t>
            </w:r>
          </w:p>
          <w:p w14:paraId="19C80CE2" w14:textId="4E7662EC" w:rsidR="004732F1" w:rsidRPr="00EF34F1" w:rsidRDefault="00FC2A9E" w:rsidP="00EE2CD6">
            <w:pPr>
              <w:rPr>
                <w:rFonts w:ascii="Arial" w:hAnsi="Arial" w:cs="Arial"/>
                <w:bCs/>
                <w:i/>
                <w:sz w:val="20"/>
                <w:szCs w:val="20"/>
              </w:rPr>
            </w:pPr>
            <w:r w:rsidRPr="009E720F">
              <w:rPr>
                <w:rFonts w:ascii="Arial" w:hAnsi="Arial" w:cs="Arial"/>
                <w:bCs/>
                <w:i/>
                <w:sz w:val="18"/>
                <w:szCs w:val="18"/>
              </w:rPr>
              <w:t>It will be t</w:t>
            </w:r>
            <w:r w:rsidR="00EE2CD6" w:rsidRPr="009E720F">
              <w:rPr>
                <w:rFonts w:ascii="Arial" w:hAnsi="Arial" w:cs="Arial"/>
                <w:bCs/>
                <w:i/>
                <w:sz w:val="18"/>
                <w:szCs w:val="18"/>
              </w:rPr>
              <w:t>he Scottish Government</w:t>
            </w:r>
            <w:r w:rsidRPr="009E720F">
              <w:rPr>
                <w:rFonts w:ascii="Arial" w:hAnsi="Arial" w:cs="Arial"/>
                <w:bCs/>
                <w:i/>
                <w:sz w:val="18"/>
                <w:szCs w:val="18"/>
              </w:rPr>
              <w:t xml:space="preserve">’s decision whether to </w:t>
            </w:r>
            <w:r w:rsidR="00EE2CD6" w:rsidRPr="009E720F">
              <w:rPr>
                <w:rFonts w:ascii="Arial" w:hAnsi="Arial" w:cs="Arial"/>
                <w:bCs/>
                <w:i/>
                <w:sz w:val="18"/>
                <w:szCs w:val="18"/>
              </w:rPr>
              <w:t xml:space="preserve">match </w:t>
            </w:r>
            <w:r w:rsidR="00A01088" w:rsidRPr="009E720F">
              <w:rPr>
                <w:rFonts w:ascii="Arial" w:hAnsi="Arial" w:cs="Arial"/>
                <w:bCs/>
                <w:i/>
                <w:sz w:val="18"/>
                <w:szCs w:val="18"/>
              </w:rPr>
              <w:t xml:space="preserve">the announced </w:t>
            </w:r>
            <w:r w:rsidR="00EE2CD6" w:rsidRPr="009E720F">
              <w:rPr>
                <w:rFonts w:ascii="Arial" w:hAnsi="Arial" w:cs="Arial"/>
                <w:bCs/>
                <w:i/>
                <w:sz w:val="18"/>
                <w:szCs w:val="18"/>
              </w:rPr>
              <w:t>reduction of basic rate of income tax</w:t>
            </w:r>
            <w:r w:rsidR="009E720F" w:rsidRPr="009E720F">
              <w:rPr>
                <w:rFonts w:ascii="Arial" w:hAnsi="Arial" w:cs="Arial"/>
                <w:bCs/>
                <w:i/>
                <w:sz w:val="18"/>
                <w:szCs w:val="18"/>
              </w:rPr>
              <w:t xml:space="preserve"> in Scotland</w:t>
            </w:r>
            <w:r w:rsidR="00EE2CD6" w:rsidRPr="009E720F">
              <w:rPr>
                <w:rFonts w:ascii="Arial" w:hAnsi="Arial" w:cs="Arial"/>
                <w:bCs/>
                <w:i/>
                <w:sz w:val="18"/>
                <w:szCs w:val="18"/>
              </w:rPr>
              <w:t>.</w:t>
            </w:r>
          </w:p>
        </w:tc>
      </w:tr>
      <w:tr w:rsidR="00F2744E" w:rsidRPr="00EF34F1" w14:paraId="40082E2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E0DC65" w14:textId="03403D29" w:rsidR="00F2744E" w:rsidRPr="00EF34F1" w:rsidRDefault="00F2744E" w:rsidP="00361A8F">
            <w:pPr>
              <w:rPr>
                <w:rFonts w:ascii="Arial" w:hAnsi="Arial" w:cs="Arial"/>
                <w:sz w:val="20"/>
                <w:szCs w:val="20"/>
              </w:rPr>
            </w:pPr>
            <w:r w:rsidRPr="00EF34F1">
              <w:rPr>
                <w:rFonts w:ascii="Arial" w:hAnsi="Arial" w:cs="Arial"/>
                <w:sz w:val="20"/>
                <w:szCs w:val="20"/>
              </w:rPr>
              <w:t> </w:t>
            </w:r>
            <w:r w:rsidR="006619A3" w:rsidRPr="00EF34F1">
              <w:rPr>
                <w:rFonts w:ascii="Arial" w:hAnsi="Arial" w:cs="Arial"/>
                <w:b/>
                <w:bCs/>
                <w:sz w:val="20"/>
                <w:szCs w:val="20"/>
              </w:rPr>
              <w:t>Income tax rates (dividend income)</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173CA08" w14:textId="2922320F" w:rsidR="00F2744E" w:rsidRPr="00EF34F1" w:rsidRDefault="0088104D" w:rsidP="00361A8F">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21A8FB7" w14:textId="23BE014C" w:rsidR="00F2744E" w:rsidRPr="00EF34F1" w:rsidRDefault="0088104D" w:rsidP="00361A8F">
            <w:pPr>
              <w:jc w:val="right"/>
              <w:rPr>
                <w:rFonts w:ascii="Arial" w:hAnsi="Arial" w:cs="Arial"/>
                <w:b/>
                <w:bCs/>
                <w:sz w:val="24"/>
                <w:szCs w:val="24"/>
              </w:rPr>
            </w:pPr>
            <w:r>
              <w:rPr>
                <w:rFonts w:ascii="Arial" w:hAnsi="Arial" w:cs="Arial"/>
                <w:b/>
                <w:bCs/>
                <w:sz w:val="24"/>
                <w:szCs w:val="24"/>
              </w:rPr>
              <w:t>2021/22</w:t>
            </w:r>
          </w:p>
        </w:tc>
      </w:tr>
      <w:tr w:rsidR="00450938" w:rsidRPr="00EF34F1" w14:paraId="3F2D899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BDBEA9" w14:textId="77777777" w:rsidR="00450938" w:rsidRPr="00EF34F1" w:rsidRDefault="00450938">
            <w:pPr>
              <w:rPr>
                <w:rFonts w:ascii="Arial" w:hAnsi="Arial" w:cs="Arial"/>
                <w:sz w:val="20"/>
                <w:szCs w:val="20"/>
              </w:rPr>
            </w:pPr>
            <w:r w:rsidRPr="00EF34F1">
              <w:rPr>
                <w:rFonts w:ascii="Arial" w:hAnsi="Arial" w:cs="Arial"/>
                <w:sz w:val="20"/>
                <w:szCs w:val="20"/>
              </w:rPr>
              <w:t>Dividend allowance</w:t>
            </w:r>
          </w:p>
        </w:tc>
        <w:tc>
          <w:tcPr>
            <w:tcW w:w="1842" w:type="dxa"/>
            <w:gridSpan w:val="4"/>
            <w:tcBorders>
              <w:top w:val="single" w:sz="4" w:space="0" w:color="auto"/>
              <w:left w:val="single" w:sz="4" w:space="0" w:color="auto"/>
              <w:bottom w:val="single" w:sz="4" w:space="0" w:color="auto"/>
              <w:right w:val="single" w:sz="4" w:space="0" w:color="auto"/>
            </w:tcBorders>
            <w:hideMark/>
          </w:tcPr>
          <w:p w14:paraId="53484CDC"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£2,000</w:t>
            </w:r>
          </w:p>
        </w:tc>
        <w:tc>
          <w:tcPr>
            <w:tcW w:w="1705" w:type="dxa"/>
            <w:gridSpan w:val="2"/>
            <w:tcBorders>
              <w:top w:val="single" w:sz="4" w:space="0" w:color="auto"/>
              <w:left w:val="single" w:sz="4" w:space="0" w:color="auto"/>
              <w:bottom w:val="single" w:sz="4" w:space="0" w:color="auto"/>
              <w:right w:val="single" w:sz="4" w:space="0" w:color="auto"/>
            </w:tcBorders>
            <w:hideMark/>
          </w:tcPr>
          <w:p w14:paraId="17B96A3E"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£2,000</w:t>
            </w:r>
          </w:p>
        </w:tc>
      </w:tr>
      <w:tr w:rsidR="00450938" w:rsidRPr="00EF34F1" w14:paraId="53657DE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104411E" w14:textId="77777777" w:rsidR="00450938" w:rsidRPr="00EE2CD6" w:rsidRDefault="00450938" w:rsidP="00C76D26">
            <w:pPr>
              <w:rPr>
                <w:rFonts w:ascii="Arial" w:hAnsi="Arial" w:cs="Arial"/>
                <w:sz w:val="20"/>
                <w:szCs w:val="20"/>
              </w:rPr>
            </w:pPr>
            <w:r w:rsidRPr="00EE2CD6">
              <w:rPr>
                <w:rFonts w:ascii="Arial" w:hAnsi="Arial" w:cs="Arial"/>
                <w:sz w:val="20"/>
                <w:szCs w:val="20"/>
              </w:rPr>
              <w:t>Dividend ordinary rate (for dividends within basic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2B42FEE1" w14:textId="5998DA70" w:rsidR="00450938" w:rsidRPr="00EE2CD6" w:rsidRDefault="003F6A39" w:rsidP="00F2744E">
            <w:pPr>
              <w:jc w:val="right"/>
              <w:rPr>
                <w:rFonts w:ascii="Arial" w:hAnsi="Arial" w:cs="Arial"/>
                <w:sz w:val="20"/>
                <w:szCs w:val="20"/>
              </w:rPr>
            </w:pPr>
            <w:r w:rsidRPr="00EE2CD6">
              <w:rPr>
                <w:rFonts w:ascii="Arial" w:hAnsi="Arial" w:cs="Arial"/>
                <w:sz w:val="20"/>
                <w:szCs w:val="20"/>
              </w:rPr>
              <w:t>8.75</w:t>
            </w:r>
            <w:r w:rsidR="00450938" w:rsidRPr="00EE2CD6">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4438D58E"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7.50%</w:t>
            </w:r>
          </w:p>
        </w:tc>
      </w:tr>
      <w:tr w:rsidR="00450938" w:rsidRPr="00EF34F1" w14:paraId="3C1E0A6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79CE907" w14:textId="77777777" w:rsidR="00450938" w:rsidRPr="00EF34F1" w:rsidRDefault="00450938" w:rsidP="00C76D26">
            <w:pPr>
              <w:rPr>
                <w:rFonts w:ascii="Arial" w:hAnsi="Arial" w:cs="Arial"/>
                <w:sz w:val="20"/>
                <w:szCs w:val="20"/>
              </w:rPr>
            </w:pPr>
            <w:r w:rsidRPr="00EF34F1">
              <w:rPr>
                <w:rFonts w:ascii="Arial" w:hAnsi="Arial" w:cs="Arial"/>
                <w:sz w:val="20"/>
                <w:szCs w:val="20"/>
              </w:rPr>
              <w:t>Dividend upper rate (for dividends within higher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59A49C04" w14:textId="03AC5883" w:rsidR="00450938" w:rsidRPr="0090036C" w:rsidRDefault="00450938" w:rsidP="00F2744E">
            <w:pPr>
              <w:jc w:val="right"/>
              <w:rPr>
                <w:rFonts w:ascii="Arial" w:hAnsi="Arial" w:cs="Arial"/>
                <w:sz w:val="20"/>
                <w:szCs w:val="20"/>
              </w:rPr>
            </w:pPr>
            <w:r w:rsidRPr="0090036C">
              <w:rPr>
                <w:rFonts w:ascii="Arial" w:hAnsi="Arial" w:cs="Arial"/>
                <w:sz w:val="20"/>
                <w:szCs w:val="20"/>
              </w:rPr>
              <w:t>3</w:t>
            </w:r>
            <w:r w:rsidR="003F6A39" w:rsidRPr="0090036C">
              <w:rPr>
                <w:rFonts w:ascii="Arial" w:hAnsi="Arial" w:cs="Arial"/>
                <w:sz w:val="20"/>
                <w:szCs w:val="20"/>
              </w:rPr>
              <w:t>3.75</w:t>
            </w:r>
            <w:r w:rsidRPr="0090036C">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1B0223A4"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32.50%</w:t>
            </w:r>
          </w:p>
        </w:tc>
      </w:tr>
      <w:tr w:rsidR="00450938" w:rsidRPr="00EF34F1" w14:paraId="24732A0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7827B6B" w14:textId="77777777" w:rsidR="00450938" w:rsidRPr="00EF34F1" w:rsidRDefault="00450938" w:rsidP="00C76D26">
            <w:pPr>
              <w:rPr>
                <w:rFonts w:ascii="Arial" w:hAnsi="Arial" w:cs="Arial"/>
                <w:sz w:val="20"/>
                <w:szCs w:val="20"/>
              </w:rPr>
            </w:pPr>
            <w:r w:rsidRPr="00EF34F1">
              <w:rPr>
                <w:rFonts w:ascii="Arial" w:hAnsi="Arial" w:cs="Arial"/>
                <w:sz w:val="20"/>
                <w:szCs w:val="20"/>
              </w:rPr>
              <w:t>Dividend additional rate (for dividends above higher rate band)</w:t>
            </w:r>
          </w:p>
        </w:tc>
        <w:tc>
          <w:tcPr>
            <w:tcW w:w="1842" w:type="dxa"/>
            <w:gridSpan w:val="4"/>
            <w:tcBorders>
              <w:top w:val="single" w:sz="4" w:space="0" w:color="auto"/>
              <w:left w:val="single" w:sz="4" w:space="0" w:color="auto"/>
              <w:bottom w:val="single" w:sz="4" w:space="0" w:color="auto"/>
              <w:right w:val="single" w:sz="4" w:space="0" w:color="auto"/>
            </w:tcBorders>
            <w:hideMark/>
          </w:tcPr>
          <w:p w14:paraId="13C59BD4" w14:textId="6029DECD" w:rsidR="00450938" w:rsidRPr="0090036C" w:rsidRDefault="00450938" w:rsidP="00F2744E">
            <w:pPr>
              <w:jc w:val="right"/>
              <w:rPr>
                <w:rFonts w:ascii="Arial" w:hAnsi="Arial" w:cs="Arial"/>
                <w:sz w:val="20"/>
                <w:szCs w:val="20"/>
              </w:rPr>
            </w:pPr>
            <w:r w:rsidRPr="0090036C">
              <w:rPr>
                <w:rFonts w:ascii="Arial" w:hAnsi="Arial" w:cs="Arial"/>
                <w:sz w:val="20"/>
                <w:szCs w:val="20"/>
              </w:rPr>
              <w:t>3</w:t>
            </w:r>
            <w:r w:rsidR="003F6A39" w:rsidRPr="0090036C">
              <w:rPr>
                <w:rFonts w:ascii="Arial" w:hAnsi="Arial" w:cs="Arial"/>
                <w:sz w:val="20"/>
                <w:szCs w:val="20"/>
              </w:rPr>
              <w:t>9.35</w:t>
            </w:r>
            <w:r w:rsidRPr="0090036C">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hideMark/>
          </w:tcPr>
          <w:p w14:paraId="1EF7D355" w14:textId="77777777" w:rsidR="00450938" w:rsidRPr="0090036C" w:rsidRDefault="00450938" w:rsidP="00F2744E">
            <w:pPr>
              <w:jc w:val="right"/>
              <w:rPr>
                <w:rFonts w:ascii="Arial" w:hAnsi="Arial" w:cs="Arial"/>
                <w:sz w:val="20"/>
                <w:szCs w:val="20"/>
              </w:rPr>
            </w:pPr>
            <w:r w:rsidRPr="0090036C">
              <w:rPr>
                <w:rFonts w:ascii="Arial" w:hAnsi="Arial" w:cs="Arial"/>
                <w:sz w:val="20"/>
                <w:szCs w:val="20"/>
              </w:rPr>
              <w:t>38.10%</w:t>
            </w:r>
          </w:p>
        </w:tc>
      </w:tr>
      <w:tr w:rsidR="00450938" w:rsidRPr="00EF34F1" w14:paraId="4407379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1F8F87" w14:textId="18F6ABB2" w:rsidR="00450938" w:rsidRPr="00EF34F1" w:rsidRDefault="00450938">
            <w:pPr>
              <w:rPr>
                <w:rFonts w:ascii="Arial" w:hAnsi="Arial" w:cs="Arial"/>
                <w:b/>
                <w:bCs/>
                <w:sz w:val="20"/>
                <w:szCs w:val="20"/>
              </w:rPr>
            </w:pPr>
            <w:r w:rsidRPr="00EF34F1">
              <w:rPr>
                <w:rFonts w:ascii="Arial" w:hAnsi="Arial" w:cs="Arial"/>
                <w:b/>
                <w:bCs/>
                <w:sz w:val="20"/>
                <w:szCs w:val="20"/>
              </w:rPr>
              <w:t>Child benefit</w:t>
            </w:r>
            <w:r w:rsidR="00C04B58">
              <w:rPr>
                <w:rFonts w:ascii="Arial" w:hAnsi="Arial" w:cs="Arial"/>
                <w:b/>
                <w:bCs/>
                <w:sz w:val="20"/>
                <w:szCs w:val="20"/>
              </w:rPr>
              <w:t>/</w:t>
            </w:r>
            <w:r w:rsidR="008A7E2E">
              <w:rPr>
                <w:rFonts w:ascii="Arial" w:hAnsi="Arial" w:cs="Arial"/>
                <w:b/>
                <w:bCs/>
                <w:sz w:val="20"/>
                <w:szCs w:val="20"/>
              </w:rPr>
              <w:t>g</w:t>
            </w:r>
            <w:r w:rsidRPr="00EF34F1">
              <w:rPr>
                <w:rFonts w:ascii="Arial" w:hAnsi="Arial" w:cs="Arial"/>
                <w:b/>
                <w:bCs/>
                <w:sz w:val="20"/>
                <w:szCs w:val="20"/>
              </w:rPr>
              <w:t>uardian</w:t>
            </w:r>
            <w:r w:rsidR="00C04B58">
              <w:rPr>
                <w:rFonts w:ascii="Arial" w:hAnsi="Arial" w:cs="Arial"/>
                <w:b/>
                <w:bCs/>
                <w:sz w:val="20"/>
                <w:szCs w:val="20"/>
              </w:rPr>
              <w:t>’</w:t>
            </w:r>
            <w:r w:rsidRPr="00EF34F1">
              <w:rPr>
                <w:rFonts w:ascii="Arial" w:hAnsi="Arial" w:cs="Arial"/>
                <w:b/>
                <w:bCs/>
                <w:sz w:val="20"/>
                <w:szCs w:val="20"/>
              </w:rPr>
              <w:t>s allowance rates</w:t>
            </w:r>
            <w:r w:rsidR="004972A7">
              <w:rPr>
                <w:rFonts w:ascii="Arial" w:hAnsi="Arial" w:cs="Arial"/>
                <w:b/>
                <w:bCs/>
                <w:sz w:val="20"/>
                <w:szCs w:val="20"/>
              </w:rPr>
              <w:t xml:space="preserve"> (notes 3</w:t>
            </w:r>
            <w:r w:rsidR="00755ECF">
              <w:rPr>
                <w:rFonts w:ascii="Arial" w:hAnsi="Arial" w:cs="Arial"/>
                <w:b/>
                <w:bCs/>
                <w:sz w:val="20"/>
                <w:szCs w:val="20"/>
              </w:rPr>
              <w:t xml:space="preserve">, </w:t>
            </w:r>
            <w:r w:rsidR="004972A7">
              <w:rPr>
                <w:rFonts w:ascii="Arial" w:hAnsi="Arial" w:cs="Arial"/>
                <w:b/>
                <w:bCs/>
                <w:sz w:val="20"/>
                <w:szCs w:val="20"/>
              </w:rPr>
              <w:t>4</w:t>
            </w:r>
            <w:r w:rsidR="00755ECF">
              <w:rPr>
                <w:rFonts w:ascii="Arial" w:hAnsi="Arial" w:cs="Arial"/>
                <w:b/>
                <w:bCs/>
                <w:sz w:val="20"/>
                <w:szCs w:val="20"/>
              </w:rPr>
              <w:t xml:space="preserve"> and</w:t>
            </w:r>
            <w:r w:rsidR="00F977AC">
              <w:rPr>
                <w:rFonts w:ascii="Arial" w:hAnsi="Arial" w:cs="Arial"/>
                <w:b/>
                <w:bCs/>
                <w:sz w:val="20"/>
                <w:szCs w:val="20"/>
              </w:rPr>
              <w:t xml:space="preserve"> 4a</w:t>
            </w:r>
            <w:r w:rsidR="004972A7">
              <w:rPr>
                <w:rFonts w:ascii="Arial" w:hAnsi="Arial" w:cs="Arial"/>
                <w:b/>
                <w:bCs/>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2D21119" w14:textId="77777777" w:rsidR="00450938" w:rsidRPr="00EF34F1" w:rsidRDefault="00450938" w:rsidP="00F2744E">
            <w:pPr>
              <w:jc w:val="right"/>
              <w:rPr>
                <w:rFonts w:ascii="Arial" w:hAnsi="Arial" w:cs="Arial"/>
                <w:b/>
                <w:bCs/>
                <w:sz w:val="20"/>
                <w:szCs w:val="20"/>
              </w:rPr>
            </w:pPr>
            <w:r w:rsidRPr="00EF34F1">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FE6CB04" w14:textId="77777777" w:rsidR="00450938" w:rsidRPr="0088104D" w:rsidRDefault="00450938" w:rsidP="00F2744E">
            <w:pPr>
              <w:jc w:val="right"/>
              <w:rPr>
                <w:rFonts w:ascii="Arial" w:hAnsi="Arial" w:cs="Arial"/>
                <w:b/>
                <w:bCs/>
                <w:sz w:val="20"/>
                <w:szCs w:val="20"/>
                <w:highlight w:val="green"/>
              </w:rPr>
            </w:pPr>
            <w:r w:rsidRPr="0090036C">
              <w:rPr>
                <w:rFonts w:ascii="Arial" w:hAnsi="Arial" w:cs="Arial"/>
                <w:b/>
                <w:bCs/>
                <w:sz w:val="20"/>
                <w:szCs w:val="20"/>
              </w:rPr>
              <w:t> </w:t>
            </w:r>
          </w:p>
        </w:tc>
      </w:tr>
      <w:tr w:rsidR="0088104D" w:rsidRPr="00EF34F1" w14:paraId="5CEC462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3ED4FBC" w14:textId="61657086" w:rsidR="0088104D" w:rsidRPr="004D71BC" w:rsidRDefault="0088104D" w:rsidP="0088104D">
            <w:pPr>
              <w:rPr>
                <w:rFonts w:ascii="Arial" w:hAnsi="Arial" w:cs="Arial"/>
                <w:sz w:val="20"/>
                <w:szCs w:val="20"/>
              </w:rPr>
            </w:pPr>
            <w:r w:rsidRPr="004D71BC">
              <w:rPr>
                <w:rFonts w:ascii="Arial" w:hAnsi="Arial" w:cs="Arial"/>
                <w:sz w:val="20"/>
                <w:szCs w:val="20"/>
              </w:rPr>
              <w:t>Higher rate (eldest or only child) (per week)</w:t>
            </w:r>
            <w:r w:rsidR="00F977AC">
              <w:rPr>
                <w:rFonts w:ascii="Arial" w:hAnsi="Arial" w:cs="Arial"/>
                <w:sz w:val="20"/>
                <w:szCs w:val="20"/>
              </w:rPr>
              <w:t xml:space="preserv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218C700"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£21.15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970D77" w14:textId="72DE7244" w:rsidR="0088104D" w:rsidRPr="00F73DA2" w:rsidRDefault="0088104D" w:rsidP="0088104D">
            <w:pPr>
              <w:jc w:val="right"/>
              <w:rPr>
                <w:rFonts w:ascii="Arial" w:hAnsi="Arial" w:cs="Arial"/>
                <w:sz w:val="20"/>
                <w:szCs w:val="20"/>
              </w:rPr>
            </w:pPr>
            <w:r w:rsidRPr="00F73DA2">
              <w:rPr>
                <w:rFonts w:ascii="Arial" w:hAnsi="Arial" w:cs="Arial"/>
                <w:sz w:val="20"/>
                <w:szCs w:val="20"/>
              </w:rPr>
              <w:t>£21.15</w:t>
            </w:r>
          </w:p>
        </w:tc>
      </w:tr>
      <w:tr w:rsidR="0088104D" w:rsidRPr="00EF34F1" w14:paraId="1BD7693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F4B26CB" w14:textId="77777777" w:rsidR="0088104D" w:rsidRPr="004D71BC" w:rsidRDefault="0088104D" w:rsidP="0088104D">
            <w:pPr>
              <w:rPr>
                <w:rFonts w:ascii="Arial" w:hAnsi="Arial" w:cs="Arial"/>
                <w:sz w:val="20"/>
                <w:szCs w:val="20"/>
              </w:rPr>
            </w:pPr>
            <w:r w:rsidRPr="004D71BC">
              <w:rPr>
                <w:rFonts w:ascii="Arial" w:hAnsi="Arial" w:cs="Arial"/>
                <w:sz w:val="20"/>
                <w:szCs w:val="20"/>
              </w:rPr>
              <w:t>Other children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11C2C8A"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£14.00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0E5681A" w14:textId="5BBE9157" w:rsidR="0088104D" w:rsidRPr="00F73DA2" w:rsidRDefault="0088104D" w:rsidP="0088104D">
            <w:pPr>
              <w:jc w:val="right"/>
              <w:rPr>
                <w:rFonts w:ascii="Arial" w:hAnsi="Arial" w:cs="Arial"/>
                <w:sz w:val="20"/>
                <w:szCs w:val="20"/>
              </w:rPr>
            </w:pPr>
            <w:r w:rsidRPr="00F73DA2">
              <w:rPr>
                <w:rFonts w:ascii="Arial" w:hAnsi="Arial" w:cs="Arial"/>
                <w:sz w:val="20"/>
                <w:szCs w:val="20"/>
              </w:rPr>
              <w:t>£14.00</w:t>
            </w:r>
          </w:p>
        </w:tc>
      </w:tr>
      <w:tr w:rsidR="0088104D" w:rsidRPr="00EF34F1" w14:paraId="1666C56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1ED210D" w14:textId="77777777" w:rsidR="0088104D" w:rsidRPr="004D71BC" w:rsidRDefault="0088104D" w:rsidP="0088104D">
            <w:pPr>
              <w:rPr>
                <w:rFonts w:ascii="Arial" w:hAnsi="Arial" w:cs="Arial"/>
                <w:sz w:val="20"/>
                <w:szCs w:val="20"/>
              </w:rPr>
            </w:pPr>
            <w:r w:rsidRPr="004D71BC">
              <w:rPr>
                <w:rFonts w:ascii="Arial" w:hAnsi="Arial" w:cs="Arial"/>
                <w:sz w:val="20"/>
                <w:szCs w:val="20"/>
              </w:rPr>
              <w:t>Guardian’s allowance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119CC08" w14:textId="77777777" w:rsidR="0088104D" w:rsidRPr="00755ECF" w:rsidRDefault="0088104D" w:rsidP="0088104D">
            <w:pPr>
              <w:jc w:val="right"/>
              <w:rPr>
                <w:rFonts w:ascii="Arial" w:hAnsi="Arial" w:cs="Arial"/>
                <w:i/>
                <w:iCs/>
                <w:sz w:val="20"/>
                <w:szCs w:val="20"/>
              </w:rPr>
            </w:pPr>
            <w:r w:rsidRPr="00755ECF">
              <w:rPr>
                <w:rFonts w:ascii="Arial" w:hAnsi="Arial" w:cs="Arial"/>
                <w:i/>
                <w:iCs/>
                <w:sz w:val="20"/>
                <w:szCs w:val="20"/>
              </w:rPr>
              <w:t>£18.00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5B546B8" w14:textId="33575D6D" w:rsidR="0088104D" w:rsidRPr="00F73DA2" w:rsidRDefault="0088104D" w:rsidP="0088104D">
            <w:pPr>
              <w:jc w:val="right"/>
              <w:rPr>
                <w:rFonts w:ascii="Arial" w:hAnsi="Arial" w:cs="Arial"/>
                <w:sz w:val="20"/>
                <w:szCs w:val="20"/>
              </w:rPr>
            </w:pPr>
            <w:r w:rsidRPr="00F73DA2">
              <w:rPr>
                <w:rFonts w:ascii="Arial" w:hAnsi="Arial" w:cs="Arial"/>
                <w:sz w:val="20"/>
                <w:szCs w:val="20"/>
              </w:rPr>
              <w:t>£18.00</w:t>
            </w:r>
          </w:p>
        </w:tc>
      </w:tr>
      <w:tr w:rsidR="00EF34F1" w:rsidRPr="00EF34F1" w14:paraId="6A9C3F81"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7FAFE1F9" w14:textId="64F6C32F" w:rsidR="00EF34F1" w:rsidRPr="00C4438E" w:rsidRDefault="004972A7" w:rsidP="004972A7">
            <w:pPr>
              <w:rPr>
                <w:rFonts w:ascii="Arial" w:hAnsi="Arial" w:cs="Arial"/>
                <w:bCs/>
                <w:i/>
                <w:iCs/>
                <w:sz w:val="18"/>
                <w:szCs w:val="18"/>
              </w:rPr>
            </w:pPr>
            <w:r w:rsidRPr="00C4438E">
              <w:rPr>
                <w:rFonts w:ascii="Arial" w:hAnsi="Arial" w:cs="Arial"/>
                <w:bCs/>
                <w:i/>
                <w:iCs/>
                <w:sz w:val="18"/>
                <w:szCs w:val="18"/>
              </w:rPr>
              <w:t xml:space="preserve">Note 3: </w:t>
            </w:r>
            <w:r w:rsidR="00C04B58">
              <w:rPr>
                <w:rFonts w:ascii="Arial" w:hAnsi="Arial" w:cs="Arial"/>
                <w:bCs/>
                <w:i/>
                <w:iCs/>
                <w:sz w:val="18"/>
                <w:szCs w:val="18"/>
              </w:rPr>
              <w:t>a</w:t>
            </w:r>
            <w:r w:rsidR="00EF34F1" w:rsidRPr="00C4438E">
              <w:rPr>
                <w:rFonts w:ascii="Arial" w:hAnsi="Arial" w:cs="Arial"/>
                <w:bCs/>
                <w:i/>
                <w:iCs/>
                <w:sz w:val="18"/>
                <w:szCs w:val="18"/>
              </w:rPr>
              <w:t>n income tax charge will apply to taxpayers with ‘adjusted net income’ exceeding £50,000 in a tax year, when child benefit is also received by them or their partner. The charge will reduce the financial benefit of receiving child benefit for those with income between £50,000 and £60,000</w:t>
            </w:r>
            <w:r w:rsidR="00C04B58">
              <w:rPr>
                <w:rFonts w:ascii="Arial" w:hAnsi="Arial" w:cs="Arial"/>
                <w:bCs/>
                <w:i/>
                <w:iCs/>
                <w:sz w:val="18"/>
                <w:szCs w:val="18"/>
              </w:rPr>
              <w:t>,</w:t>
            </w:r>
            <w:r w:rsidR="00EF34F1" w:rsidRPr="00C4438E">
              <w:rPr>
                <w:rFonts w:ascii="Arial" w:hAnsi="Arial" w:cs="Arial"/>
                <w:bCs/>
                <w:i/>
                <w:iCs/>
                <w:sz w:val="18"/>
                <w:szCs w:val="18"/>
              </w:rPr>
              <w:t xml:space="preserve"> and remove it completely for taxpayers with income above £60,000.</w:t>
            </w:r>
          </w:p>
          <w:p w14:paraId="34EB8B6D" w14:textId="55F4F1CF" w:rsidR="00EF34F1" w:rsidRDefault="004972A7" w:rsidP="004972A7">
            <w:pPr>
              <w:rPr>
                <w:rFonts w:ascii="Arial" w:hAnsi="Arial" w:cs="Arial"/>
                <w:bCs/>
                <w:i/>
                <w:iCs/>
                <w:sz w:val="18"/>
                <w:szCs w:val="18"/>
              </w:rPr>
            </w:pPr>
            <w:r w:rsidRPr="00C4438E">
              <w:rPr>
                <w:rFonts w:ascii="Arial" w:hAnsi="Arial" w:cs="Arial"/>
                <w:bCs/>
                <w:i/>
                <w:iCs/>
                <w:sz w:val="18"/>
                <w:szCs w:val="18"/>
              </w:rPr>
              <w:t xml:space="preserve">Note 4: </w:t>
            </w:r>
            <w:r w:rsidR="00C04B58">
              <w:rPr>
                <w:rFonts w:ascii="Arial" w:hAnsi="Arial" w:cs="Arial"/>
                <w:bCs/>
                <w:i/>
                <w:iCs/>
                <w:sz w:val="18"/>
                <w:szCs w:val="18"/>
              </w:rPr>
              <w:t>f</w:t>
            </w:r>
            <w:r w:rsidR="00EF34F1" w:rsidRPr="00C4438E">
              <w:rPr>
                <w:rFonts w:ascii="Arial" w:hAnsi="Arial" w:cs="Arial"/>
                <w:bCs/>
                <w:i/>
                <w:iCs/>
                <w:sz w:val="18"/>
                <w:szCs w:val="18"/>
              </w:rPr>
              <w:t>rom January 2021,</w:t>
            </w:r>
            <w:r w:rsidR="006440D7" w:rsidRPr="00C4438E">
              <w:rPr>
                <w:rFonts w:ascii="Arial" w:hAnsi="Arial" w:cs="Arial"/>
                <w:bCs/>
                <w:i/>
                <w:iCs/>
                <w:sz w:val="18"/>
                <w:szCs w:val="18"/>
              </w:rPr>
              <w:t xml:space="preserve"> </w:t>
            </w:r>
            <w:r w:rsidR="00EF34F1" w:rsidRPr="00C4438E">
              <w:rPr>
                <w:rFonts w:ascii="Arial" w:hAnsi="Arial" w:cs="Arial"/>
                <w:bCs/>
                <w:i/>
                <w:iCs/>
                <w:sz w:val="18"/>
                <w:szCs w:val="18"/>
              </w:rPr>
              <w:t>no child benefit payments are made in respect of children living overseas.</w:t>
            </w:r>
            <w:r w:rsidR="002448FF" w:rsidRPr="00C4438E">
              <w:rPr>
                <w:rFonts w:ascii="Arial" w:hAnsi="Arial" w:cs="Arial"/>
                <w:bCs/>
                <w:i/>
                <w:iCs/>
                <w:sz w:val="18"/>
                <w:szCs w:val="18"/>
              </w:rPr>
              <w:t xml:space="preserve"> </w:t>
            </w:r>
            <w:r w:rsidR="00EF34F1" w:rsidRPr="00C4438E">
              <w:rPr>
                <w:rFonts w:ascii="Arial" w:hAnsi="Arial" w:cs="Arial"/>
                <w:bCs/>
                <w:i/>
                <w:iCs/>
                <w:sz w:val="18"/>
                <w:szCs w:val="18"/>
              </w:rPr>
              <w:t>This will apply to EEA migrants arriving in the UK under the new immigration system.</w:t>
            </w:r>
          </w:p>
          <w:p w14:paraId="197CFA55" w14:textId="3BC314A2" w:rsidR="00EE5B03" w:rsidRPr="004972A7" w:rsidRDefault="00F977AC" w:rsidP="00194697">
            <w:pPr>
              <w:rPr>
                <w:rFonts w:ascii="Arial" w:hAnsi="Arial" w:cs="Arial"/>
                <w:color w:val="FF0000"/>
                <w:sz w:val="20"/>
                <w:szCs w:val="20"/>
              </w:rPr>
            </w:pPr>
            <w:r>
              <w:rPr>
                <w:rFonts w:ascii="Arial" w:hAnsi="Arial" w:cs="Arial"/>
                <w:bCs/>
                <w:i/>
                <w:iCs/>
                <w:sz w:val="18"/>
                <w:szCs w:val="18"/>
              </w:rPr>
              <w:t xml:space="preserve">Note 4a: </w:t>
            </w:r>
            <w:r w:rsidR="00C04B58">
              <w:rPr>
                <w:rFonts w:ascii="Arial" w:hAnsi="Arial" w:cs="Arial"/>
                <w:bCs/>
                <w:i/>
                <w:iCs/>
                <w:sz w:val="18"/>
                <w:szCs w:val="18"/>
              </w:rPr>
              <w:t>f</w:t>
            </w:r>
            <w:r w:rsidR="00D30ED0" w:rsidRPr="00D30ED0">
              <w:rPr>
                <w:rFonts w:ascii="Arial" w:hAnsi="Arial" w:cs="Arial"/>
                <w:bCs/>
                <w:i/>
                <w:iCs/>
                <w:sz w:val="18"/>
                <w:szCs w:val="18"/>
              </w:rPr>
              <w:t>ollowing the publication of </w:t>
            </w:r>
            <w:r w:rsidR="00C04B58">
              <w:rPr>
                <w:rFonts w:ascii="Arial" w:hAnsi="Arial" w:cs="Arial"/>
                <w:bCs/>
                <w:i/>
                <w:iCs/>
                <w:sz w:val="18"/>
                <w:szCs w:val="18"/>
              </w:rPr>
              <w:t>consumer price index</w:t>
            </w:r>
            <w:r w:rsidR="00D30ED0" w:rsidRPr="00D30ED0">
              <w:rPr>
                <w:rFonts w:ascii="Arial" w:hAnsi="Arial" w:cs="Arial"/>
                <w:bCs/>
                <w:i/>
                <w:iCs/>
                <w:sz w:val="18"/>
                <w:szCs w:val="18"/>
              </w:rPr>
              <w:t> figures for September 2021 on 20 October, the government will conduct a review of benefits rates for 2022</w:t>
            </w:r>
            <w:r w:rsidR="00C04B58">
              <w:rPr>
                <w:rFonts w:ascii="Arial" w:hAnsi="Arial" w:cs="Arial"/>
                <w:bCs/>
                <w:i/>
                <w:iCs/>
                <w:sz w:val="18"/>
                <w:szCs w:val="18"/>
              </w:rPr>
              <w:t>/</w:t>
            </w:r>
            <w:r w:rsidR="00D30ED0" w:rsidRPr="00D30ED0">
              <w:rPr>
                <w:rFonts w:ascii="Arial" w:hAnsi="Arial" w:cs="Arial"/>
                <w:bCs/>
                <w:i/>
                <w:iCs/>
                <w:sz w:val="18"/>
                <w:szCs w:val="18"/>
              </w:rPr>
              <w:t>23. The outcome of the government’s review, including any changes to rates, will be announced in November 2021 and implemented in April 2022.</w:t>
            </w:r>
            <w:r w:rsidR="00194697">
              <w:rPr>
                <w:rFonts w:ascii="Arial" w:hAnsi="Arial" w:cs="Arial"/>
                <w:bCs/>
                <w:i/>
                <w:iCs/>
                <w:sz w:val="18"/>
                <w:szCs w:val="18"/>
              </w:rPr>
              <w:t xml:space="preserve"> The guide will be updated in due course.</w:t>
            </w:r>
          </w:p>
        </w:tc>
      </w:tr>
      <w:tr w:rsidR="000A322D" w:rsidRPr="00EF34F1" w14:paraId="0D991FF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73D33A6" w14:textId="77777777" w:rsidR="000A322D" w:rsidRPr="00EF34F1" w:rsidRDefault="000A322D" w:rsidP="000A322D">
            <w:pPr>
              <w:rPr>
                <w:rFonts w:ascii="Arial" w:hAnsi="Arial" w:cs="Arial"/>
                <w:b/>
                <w:bCs/>
                <w:sz w:val="20"/>
                <w:szCs w:val="20"/>
              </w:rPr>
            </w:pPr>
            <w:r w:rsidRPr="00EF34F1">
              <w:rPr>
                <w:rFonts w:ascii="Arial" w:hAnsi="Arial" w:cs="Arial"/>
                <w:b/>
                <w:bCs/>
                <w:sz w:val="20"/>
                <w:szCs w:val="20"/>
              </w:rPr>
              <w:t>Personal allowances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1F31D7A" w14:textId="0D7AB23A" w:rsidR="000A322D" w:rsidRPr="00EF34F1" w:rsidRDefault="000A322D" w:rsidP="000A322D">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6BEB7AB" w14:textId="17C6BF4D" w:rsidR="000A322D" w:rsidRPr="00EF34F1" w:rsidRDefault="000A322D" w:rsidP="000A322D">
            <w:pPr>
              <w:jc w:val="right"/>
              <w:rPr>
                <w:rFonts w:ascii="Arial" w:hAnsi="Arial" w:cs="Arial"/>
                <w:b/>
                <w:bCs/>
                <w:sz w:val="20"/>
                <w:szCs w:val="20"/>
              </w:rPr>
            </w:pPr>
            <w:r>
              <w:rPr>
                <w:rFonts w:ascii="Arial" w:hAnsi="Arial" w:cs="Arial"/>
                <w:b/>
                <w:bCs/>
                <w:sz w:val="24"/>
                <w:szCs w:val="24"/>
              </w:rPr>
              <w:t>2021/22</w:t>
            </w:r>
          </w:p>
        </w:tc>
      </w:tr>
      <w:tr w:rsidR="0088104D" w:rsidRPr="00EF34F1" w14:paraId="4E727B8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66C48E1" w14:textId="15584880" w:rsidR="0088104D" w:rsidRPr="00EE2CD6" w:rsidRDefault="0088104D" w:rsidP="0088104D">
            <w:pPr>
              <w:rPr>
                <w:rFonts w:ascii="Arial" w:hAnsi="Arial" w:cs="Arial"/>
                <w:sz w:val="20"/>
                <w:szCs w:val="20"/>
              </w:rPr>
            </w:pPr>
            <w:r w:rsidRPr="00EE2CD6">
              <w:rPr>
                <w:rFonts w:ascii="Arial" w:hAnsi="Arial" w:cs="Arial"/>
                <w:sz w:val="20"/>
                <w:szCs w:val="20"/>
              </w:rPr>
              <w:t xml:space="preserve">Personal allowance (note 5)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334CD22" w14:textId="7BA7C4D3" w:rsidR="0088104D" w:rsidRPr="00EE2CD6" w:rsidRDefault="000A322D" w:rsidP="0088104D">
            <w:pPr>
              <w:jc w:val="right"/>
              <w:rPr>
                <w:rFonts w:ascii="Arial" w:hAnsi="Arial" w:cs="Arial"/>
                <w:sz w:val="20"/>
                <w:szCs w:val="20"/>
              </w:rPr>
            </w:pPr>
            <w:r w:rsidRPr="00EE2CD6">
              <w:rPr>
                <w:rFonts w:ascii="Arial" w:hAnsi="Arial" w:cs="Arial"/>
                <w:sz w:val="20"/>
                <w:szCs w:val="20"/>
              </w:rPr>
              <w:t>£</w:t>
            </w:r>
            <w:r w:rsidR="0088104D" w:rsidRPr="00EE2CD6">
              <w:rPr>
                <w:rFonts w:ascii="Arial" w:hAnsi="Arial" w:cs="Arial"/>
                <w:sz w:val="20"/>
                <w:szCs w:val="20"/>
              </w:rPr>
              <w:t>12,570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BAE72AF" w14:textId="7716414D"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12,570</w:t>
            </w:r>
          </w:p>
        </w:tc>
      </w:tr>
      <w:tr w:rsidR="0088104D" w:rsidRPr="00EF34F1" w14:paraId="68CD500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FA406A" w14:textId="77777777" w:rsidR="0088104D" w:rsidRPr="00EF34F1" w:rsidRDefault="0088104D" w:rsidP="0088104D">
            <w:pPr>
              <w:rPr>
                <w:rFonts w:ascii="Arial" w:hAnsi="Arial" w:cs="Arial"/>
                <w:sz w:val="20"/>
                <w:szCs w:val="20"/>
              </w:rPr>
            </w:pPr>
            <w:r w:rsidRPr="00EF34F1">
              <w:rPr>
                <w:rFonts w:ascii="Arial" w:hAnsi="Arial" w:cs="Arial"/>
                <w:sz w:val="20"/>
                <w:szCs w:val="20"/>
              </w:rPr>
              <w:t xml:space="preserve">Dividend allowance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385EFD5" w14:textId="6E36C823"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4EA99A" w14:textId="2BD412B9"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2,000</w:t>
            </w:r>
          </w:p>
        </w:tc>
      </w:tr>
      <w:tr w:rsidR="0088104D" w:rsidRPr="00EF34F1" w14:paraId="6CA4A33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7835F7A" w14:textId="4DCFB818" w:rsidR="0088104D" w:rsidRPr="00EF2337" w:rsidRDefault="0088104D" w:rsidP="0088104D">
            <w:pPr>
              <w:rPr>
                <w:rFonts w:ascii="Arial" w:hAnsi="Arial" w:cs="Arial"/>
                <w:sz w:val="20"/>
                <w:szCs w:val="20"/>
              </w:rPr>
            </w:pPr>
            <w:r w:rsidRPr="00EF2337">
              <w:rPr>
                <w:rFonts w:ascii="Arial" w:hAnsi="Arial" w:cs="Arial"/>
                <w:sz w:val="20"/>
                <w:szCs w:val="20"/>
              </w:rPr>
              <w:t>Maximum married couple’s allowance for those born before 6 April 1935 (note 6)</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5F2A3BC" w14:textId="6B15CF05"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9,</w:t>
            </w:r>
            <w:r w:rsidR="00DF5057">
              <w:rPr>
                <w:rFonts w:ascii="Arial" w:hAnsi="Arial" w:cs="Arial"/>
                <w:sz w:val="20"/>
                <w:szCs w:val="20"/>
              </w:rPr>
              <w:t>415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8804A05" w14:textId="01DEFE7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9,125</w:t>
            </w:r>
          </w:p>
        </w:tc>
      </w:tr>
      <w:tr w:rsidR="0088104D" w:rsidRPr="00EF34F1" w14:paraId="26ACDEC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316697F" w14:textId="77777777" w:rsidR="0088104D" w:rsidRPr="00EF2337" w:rsidRDefault="0088104D" w:rsidP="0088104D">
            <w:pPr>
              <w:rPr>
                <w:rFonts w:ascii="Arial" w:hAnsi="Arial" w:cs="Arial"/>
                <w:sz w:val="20"/>
                <w:szCs w:val="20"/>
              </w:rPr>
            </w:pPr>
            <w:r w:rsidRPr="00EF2337">
              <w:rPr>
                <w:rFonts w:ascii="Arial" w:hAnsi="Arial" w:cs="Arial"/>
                <w:sz w:val="20"/>
                <w:szCs w:val="20"/>
              </w:rPr>
              <w:t xml:space="preserve">Married couple’s allowance – minimum amount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DD9F200" w14:textId="2829EE9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w:t>
            </w:r>
            <w:r w:rsidR="00DF5057">
              <w:rPr>
                <w:rFonts w:ascii="Arial" w:hAnsi="Arial" w:cs="Arial"/>
                <w:sz w:val="20"/>
                <w:szCs w:val="20"/>
              </w:rPr>
              <w:t>640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D259AB4" w14:textId="62D55BC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3,530</w:t>
            </w:r>
          </w:p>
        </w:tc>
      </w:tr>
      <w:tr w:rsidR="0088104D" w:rsidRPr="00EF34F1" w14:paraId="57DAF1C4" w14:textId="77777777" w:rsidTr="002329F8">
        <w:trPr>
          <w:gridAfter w:val="1"/>
          <w:wAfter w:w="236" w:type="dxa"/>
          <w:trHeight w:val="806"/>
        </w:trPr>
        <w:tc>
          <w:tcPr>
            <w:tcW w:w="6376" w:type="dxa"/>
            <w:gridSpan w:val="4"/>
            <w:tcBorders>
              <w:top w:val="single" w:sz="4" w:space="0" w:color="auto"/>
              <w:left w:val="single" w:sz="4" w:space="0" w:color="auto"/>
              <w:bottom w:val="single" w:sz="4" w:space="0" w:color="auto"/>
              <w:right w:val="single" w:sz="4" w:space="0" w:color="auto"/>
            </w:tcBorders>
            <w:hideMark/>
          </w:tcPr>
          <w:p w14:paraId="50EB6E01" w14:textId="5EF8736A" w:rsidR="0088104D" w:rsidRPr="00196B71" w:rsidRDefault="0088104D" w:rsidP="002329F8">
            <w:pPr>
              <w:rPr>
                <w:rFonts w:ascii="Arial" w:hAnsi="Arial" w:cs="Arial"/>
                <w:sz w:val="20"/>
                <w:szCs w:val="20"/>
                <w:u w:val="single"/>
              </w:rPr>
            </w:pPr>
            <w:r w:rsidRPr="00196B71">
              <w:rPr>
                <w:rFonts w:ascii="Arial" w:hAnsi="Arial" w:cs="Arial"/>
                <w:sz w:val="20"/>
                <w:szCs w:val="20"/>
              </w:rPr>
              <w:t>Micro entrepreneur’s allowance</w:t>
            </w:r>
            <w:r w:rsidR="00C61211">
              <w:rPr>
                <w:rFonts w:ascii="Arial" w:hAnsi="Arial" w:cs="Arial"/>
                <w:sz w:val="20"/>
                <w:szCs w:val="20"/>
              </w:rPr>
              <w:t xml:space="preserve"> (property or trading income</w:t>
            </w:r>
            <w:r w:rsidR="002329F8">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2E803E9" w14:textId="0120439C"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 xml:space="preserve">1,000 </w:t>
            </w:r>
            <w:r w:rsidR="0088104D" w:rsidRPr="00836E18">
              <w:rPr>
                <w:rFonts w:ascii="Arial" w:hAnsi="Arial" w:cs="Arial"/>
                <w:sz w:val="20"/>
                <w:szCs w:val="20"/>
              </w:rPr>
              <w:br/>
              <w:t>each</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9EB02E5" w14:textId="4DCE75DD"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 xml:space="preserve">1,000 </w:t>
            </w:r>
            <w:r w:rsidR="0088104D" w:rsidRPr="00836E18">
              <w:rPr>
                <w:rFonts w:ascii="Arial" w:hAnsi="Arial" w:cs="Arial"/>
                <w:sz w:val="20"/>
                <w:szCs w:val="20"/>
              </w:rPr>
              <w:br/>
              <w:t>each</w:t>
            </w:r>
          </w:p>
        </w:tc>
      </w:tr>
      <w:tr w:rsidR="0088104D" w:rsidRPr="00EF34F1" w14:paraId="37FE86F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579DF99" w14:textId="3262B124" w:rsidR="0088104D" w:rsidRPr="004524B1" w:rsidRDefault="0088104D" w:rsidP="0088104D">
            <w:pPr>
              <w:rPr>
                <w:rFonts w:ascii="Arial" w:hAnsi="Arial" w:cs="Arial"/>
                <w:sz w:val="20"/>
                <w:szCs w:val="20"/>
              </w:rPr>
            </w:pPr>
            <w:r w:rsidRPr="004524B1">
              <w:rPr>
                <w:rFonts w:ascii="Arial" w:hAnsi="Arial" w:cs="Arial"/>
                <w:sz w:val="20"/>
                <w:szCs w:val="20"/>
              </w:rPr>
              <w:t xml:space="preserve">Income limit </w:t>
            </w:r>
            <w:r>
              <w:rPr>
                <w:rFonts w:ascii="Arial" w:hAnsi="Arial" w:cs="Arial"/>
                <w:sz w:val="20"/>
                <w:szCs w:val="20"/>
              </w:rPr>
              <w:t xml:space="preserve">for personal allowance </w:t>
            </w:r>
            <w:r w:rsidRPr="004524B1">
              <w:rPr>
                <w:rFonts w:ascii="Arial" w:hAnsi="Arial" w:cs="Arial"/>
                <w:sz w:val="20"/>
                <w:szCs w:val="20"/>
              </w:rPr>
              <w:t>(note 7)</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F839992" w14:textId="353AAC9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6A7373A" w14:textId="6D7E711B"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100,000</w:t>
            </w:r>
          </w:p>
        </w:tc>
      </w:tr>
      <w:tr w:rsidR="0088104D" w:rsidRPr="00EF34F1" w14:paraId="256C281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A8C4B82" w14:textId="77777777" w:rsidR="0088104D" w:rsidRPr="007C2E5C" w:rsidRDefault="0088104D" w:rsidP="0088104D">
            <w:pPr>
              <w:rPr>
                <w:rFonts w:ascii="Arial" w:hAnsi="Arial" w:cs="Arial"/>
                <w:sz w:val="20"/>
                <w:szCs w:val="20"/>
              </w:rPr>
            </w:pPr>
            <w:r w:rsidRPr="007C2E5C">
              <w:rPr>
                <w:rFonts w:ascii="Arial" w:hAnsi="Arial" w:cs="Arial"/>
                <w:sz w:val="20"/>
                <w:szCs w:val="20"/>
              </w:rPr>
              <w:t xml:space="preserve">Income limit for married couple’s allowance: born before 6 April 1935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3398049" w14:textId="22A69CC8" w:rsidR="0088104D" w:rsidRPr="00836E18" w:rsidRDefault="000A322D" w:rsidP="0088104D">
            <w:pPr>
              <w:jc w:val="right"/>
              <w:rPr>
                <w:rFonts w:ascii="Arial" w:hAnsi="Arial" w:cs="Arial"/>
                <w:sz w:val="20"/>
                <w:szCs w:val="20"/>
              </w:rPr>
            </w:pPr>
            <w:r w:rsidRPr="00730688">
              <w:rPr>
                <w:rFonts w:ascii="Arial" w:hAnsi="Arial" w:cs="Arial"/>
                <w:sz w:val="20"/>
                <w:szCs w:val="20"/>
              </w:rPr>
              <w:t>£</w:t>
            </w:r>
            <w:r w:rsidR="0088104D" w:rsidRPr="00730688">
              <w:rPr>
                <w:rFonts w:ascii="Arial" w:hAnsi="Arial" w:cs="Arial"/>
                <w:sz w:val="20"/>
                <w:szCs w:val="20"/>
              </w:rPr>
              <w:t>3</w:t>
            </w:r>
            <w:r w:rsidR="00982836" w:rsidRPr="00730688">
              <w:rPr>
                <w:rFonts w:ascii="Arial" w:hAnsi="Arial" w:cs="Arial"/>
                <w:sz w:val="20"/>
                <w:szCs w:val="20"/>
              </w:rPr>
              <w:t>1</w:t>
            </w:r>
            <w:r w:rsidR="0088104D" w:rsidRPr="00730688">
              <w:rPr>
                <w:rFonts w:ascii="Arial" w:hAnsi="Arial" w:cs="Arial"/>
                <w:sz w:val="20"/>
                <w:szCs w:val="20"/>
              </w:rPr>
              <w:t>,400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FFB43FD" w14:textId="26C6133E"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30,400</w:t>
            </w:r>
          </w:p>
        </w:tc>
      </w:tr>
      <w:tr w:rsidR="0088104D" w:rsidRPr="00EF34F1" w14:paraId="002F252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14AB267" w14:textId="77777777" w:rsidR="0088104D" w:rsidRPr="007C2E5C" w:rsidRDefault="0088104D" w:rsidP="0088104D">
            <w:pPr>
              <w:rPr>
                <w:rFonts w:ascii="Arial" w:hAnsi="Arial" w:cs="Arial"/>
                <w:sz w:val="20"/>
                <w:szCs w:val="20"/>
              </w:rPr>
            </w:pPr>
            <w:r w:rsidRPr="007C2E5C">
              <w:rPr>
                <w:rFonts w:ascii="Arial" w:hAnsi="Arial" w:cs="Arial"/>
                <w:sz w:val="20"/>
                <w:szCs w:val="20"/>
              </w:rPr>
              <w:t>Blind person’s allowance</w:t>
            </w:r>
          </w:p>
        </w:tc>
        <w:tc>
          <w:tcPr>
            <w:tcW w:w="1842" w:type="dxa"/>
            <w:gridSpan w:val="4"/>
            <w:tcBorders>
              <w:top w:val="single" w:sz="4" w:space="0" w:color="auto"/>
              <w:left w:val="single" w:sz="4" w:space="0" w:color="auto"/>
              <w:bottom w:val="single" w:sz="4" w:space="0" w:color="auto"/>
              <w:right w:val="single" w:sz="4" w:space="0" w:color="auto"/>
            </w:tcBorders>
            <w:hideMark/>
          </w:tcPr>
          <w:p w14:paraId="69AAEE29" w14:textId="323ADA01"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w:t>
            </w:r>
            <w:r w:rsidR="004058CE">
              <w:rPr>
                <w:rFonts w:ascii="Arial" w:hAnsi="Arial" w:cs="Arial"/>
                <w:sz w:val="20"/>
                <w:szCs w:val="20"/>
              </w:rPr>
              <w:t>60</w:t>
            </w:r>
            <w:r w:rsidR="0088104D" w:rsidRPr="00836E18">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D7F8571" w14:textId="17DD03DF" w:rsidR="0088104D" w:rsidRPr="00836E18" w:rsidRDefault="000A322D" w:rsidP="0088104D">
            <w:pPr>
              <w:jc w:val="right"/>
              <w:rPr>
                <w:rFonts w:ascii="Arial" w:hAnsi="Arial" w:cs="Arial"/>
                <w:sz w:val="20"/>
                <w:szCs w:val="20"/>
              </w:rPr>
            </w:pPr>
            <w:r w:rsidRPr="00836E18">
              <w:rPr>
                <w:rFonts w:ascii="Arial" w:hAnsi="Arial" w:cs="Arial"/>
                <w:sz w:val="20"/>
                <w:szCs w:val="20"/>
              </w:rPr>
              <w:t>£</w:t>
            </w:r>
            <w:r w:rsidR="0088104D" w:rsidRPr="00836E18">
              <w:rPr>
                <w:rFonts w:ascii="Arial" w:hAnsi="Arial" w:cs="Arial"/>
                <w:sz w:val="20"/>
                <w:szCs w:val="20"/>
              </w:rPr>
              <w:t>2,520</w:t>
            </w:r>
          </w:p>
        </w:tc>
      </w:tr>
      <w:tr w:rsidR="0088104D" w:rsidRPr="00EF34F1" w14:paraId="2D19465C" w14:textId="77777777" w:rsidTr="00F3495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B03E1A" w14:textId="77777777" w:rsidR="0088104D" w:rsidRPr="007C2E5C" w:rsidRDefault="0088104D" w:rsidP="0088104D">
            <w:pPr>
              <w:rPr>
                <w:rFonts w:ascii="Arial" w:hAnsi="Arial" w:cs="Arial"/>
                <w:sz w:val="20"/>
                <w:szCs w:val="20"/>
              </w:rPr>
            </w:pPr>
            <w:r w:rsidRPr="007C2E5C">
              <w:rPr>
                <w:rFonts w:ascii="Arial" w:hAnsi="Arial" w:cs="Arial"/>
                <w:sz w:val="20"/>
                <w:szCs w:val="20"/>
              </w:rPr>
              <w:t>Rent-a-room relief</w:t>
            </w: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234B407E" w14:textId="2AA5B946" w:rsidR="0088104D" w:rsidRPr="00B97B43" w:rsidRDefault="000A322D" w:rsidP="0088104D">
            <w:pPr>
              <w:jc w:val="right"/>
              <w:rPr>
                <w:rFonts w:ascii="Arial" w:hAnsi="Arial" w:cs="Arial"/>
                <w:sz w:val="20"/>
                <w:szCs w:val="20"/>
              </w:rPr>
            </w:pPr>
            <w:r w:rsidRPr="00B97B43">
              <w:rPr>
                <w:rFonts w:ascii="Arial" w:hAnsi="Arial" w:cs="Arial"/>
                <w:sz w:val="20"/>
                <w:szCs w:val="20"/>
              </w:rPr>
              <w:t>£</w:t>
            </w:r>
            <w:r w:rsidR="0088104D" w:rsidRPr="00B97B43">
              <w:rPr>
                <w:rFonts w:ascii="Arial" w:hAnsi="Arial" w:cs="Arial"/>
                <w:sz w:val="20"/>
                <w:szCs w:val="20"/>
              </w:rPr>
              <w:t>7,500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8F5E9DB" w14:textId="14EA4D64" w:rsidR="0088104D" w:rsidRPr="00B97B43" w:rsidRDefault="000A322D" w:rsidP="0088104D">
            <w:pPr>
              <w:jc w:val="right"/>
              <w:rPr>
                <w:rFonts w:ascii="Arial" w:hAnsi="Arial" w:cs="Arial"/>
                <w:sz w:val="20"/>
                <w:szCs w:val="20"/>
              </w:rPr>
            </w:pPr>
            <w:r w:rsidRPr="00B97B43">
              <w:rPr>
                <w:rFonts w:ascii="Arial" w:hAnsi="Arial" w:cs="Arial"/>
                <w:sz w:val="20"/>
                <w:szCs w:val="20"/>
              </w:rPr>
              <w:t>£</w:t>
            </w:r>
            <w:r w:rsidR="0088104D" w:rsidRPr="00B97B43">
              <w:rPr>
                <w:rFonts w:ascii="Arial" w:hAnsi="Arial" w:cs="Arial"/>
                <w:sz w:val="20"/>
                <w:szCs w:val="20"/>
              </w:rPr>
              <w:t>7,500</w:t>
            </w:r>
          </w:p>
        </w:tc>
      </w:tr>
      <w:tr w:rsidR="0088104D" w:rsidRPr="00EF34F1" w14:paraId="78E74086" w14:textId="77777777" w:rsidTr="00F3495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7BB789D" w14:textId="048C6FFD" w:rsidR="00693A03" w:rsidRDefault="0088104D" w:rsidP="007F5823">
            <w:pPr>
              <w:rPr>
                <w:rFonts w:ascii="Arial" w:hAnsi="Arial" w:cs="Arial"/>
                <w:sz w:val="20"/>
                <w:szCs w:val="20"/>
              </w:rPr>
            </w:pPr>
            <w:r w:rsidRPr="007C2E5C">
              <w:rPr>
                <w:rFonts w:ascii="Arial" w:hAnsi="Arial" w:cs="Arial"/>
                <w:sz w:val="20"/>
                <w:szCs w:val="20"/>
              </w:rPr>
              <w:lastRenderedPageBreak/>
              <w:t>Transferable</w:t>
            </w:r>
            <w:r w:rsidR="00C04B58">
              <w:rPr>
                <w:rFonts w:ascii="Arial" w:hAnsi="Arial" w:cs="Arial"/>
                <w:sz w:val="20"/>
                <w:szCs w:val="20"/>
              </w:rPr>
              <w:t>/</w:t>
            </w:r>
            <w:r w:rsidRPr="007C2E5C">
              <w:rPr>
                <w:rFonts w:ascii="Arial" w:hAnsi="Arial" w:cs="Arial"/>
                <w:sz w:val="20"/>
                <w:szCs w:val="20"/>
              </w:rPr>
              <w:t>shareable tax allowance for married couples and civil partners (note 8)</w:t>
            </w:r>
          </w:p>
          <w:p w14:paraId="3DACFC0F" w14:textId="68D87BB4" w:rsidR="002329F8" w:rsidRPr="007C2E5C" w:rsidRDefault="002329F8" w:rsidP="007F5823">
            <w:pPr>
              <w:rPr>
                <w:rFonts w:ascii="Arial" w:hAnsi="Arial" w:cs="Arial"/>
                <w:sz w:val="20"/>
                <w:szCs w:val="20"/>
              </w:rPr>
            </w:pPr>
          </w:p>
        </w:tc>
        <w:tc>
          <w:tcPr>
            <w:tcW w:w="1842" w:type="dxa"/>
            <w:gridSpan w:val="4"/>
            <w:tcBorders>
              <w:top w:val="single" w:sz="4" w:space="0" w:color="auto"/>
              <w:left w:val="single" w:sz="4" w:space="0" w:color="auto"/>
              <w:bottom w:val="single" w:sz="4" w:space="0" w:color="auto"/>
              <w:right w:val="single" w:sz="4" w:space="0" w:color="auto"/>
            </w:tcBorders>
            <w:shd w:val="clear" w:color="auto" w:fill="auto"/>
            <w:noWrap/>
            <w:hideMark/>
          </w:tcPr>
          <w:p w14:paraId="304E8D9D" w14:textId="32C18B39" w:rsidR="0088104D" w:rsidRPr="00F34955" w:rsidRDefault="000A322D" w:rsidP="0088104D">
            <w:pPr>
              <w:jc w:val="right"/>
              <w:rPr>
                <w:rFonts w:ascii="Arial" w:hAnsi="Arial" w:cs="Arial"/>
                <w:sz w:val="20"/>
                <w:szCs w:val="20"/>
              </w:rPr>
            </w:pPr>
            <w:r w:rsidRPr="00F34955">
              <w:rPr>
                <w:rFonts w:ascii="Arial" w:hAnsi="Arial" w:cs="Arial"/>
                <w:sz w:val="20"/>
                <w:szCs w:val="20"/>
              </w:rPr>
              <w:t>£</w:t>
            </w:r>
            <w:r w:rsidR="0088104D" w:rsidRPr="00F34955">
              <w:rPr>
                <w:rFonts w:ascii="Arial" w:hAnsi="Arial" w:cs="Arial"/>
                <w:sz w:val="20"/>
                <w:szCs w:val="20"/>
              </w:rPr>
              <w:t>1,260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09B826C" w14:textId="4606C68C" w:rsidR="0088104D" w:rsidRPr="004878FB" w:rsidRDefault="000A322D" w:rsidP="0088104D">
            <w:pPr>
              <w:jc w:val="right"/>
              <w:rPr>
                <w:rFonts w:ascii="Arial" w:hAnsi="Arial" w:cs="Arial"/>
                <w:sz w:val="20"/>
                <w:szCs w:val="20"/>
              </w:rPr>
            </w:pPr>
            <w:r w:rsidRPr="004878FB">
              <w:rPr>
                <w:rFonts w:ascii="Arial" w:hAnsi="Arial" w:cs="Arial"/>
                <w:sz w:val="20"/>
                <w:szCs w:val="20"/>
              </w:rPr>
              <w:t>£</w:t>
            </w:r>
            <w:r w:rsidR="0088104D" w:rsidRPr="004878FB">
              <w:rPr>
                <w:rFonts w:ascii="Arial" w:hAnsi="Arial" w:cs="Arial"/>
                <w:sz w:val="20"/>
                <w:szCs w:val="20"/>
              </w:rPr>
              <w:t>1,260</w:t>
            </w:r>
          </w:p>
        </w:tc>
      </w:tr>
      <w:tr w:rsidR="00D55B7F" w:rsidRPr="00EF34F1" w14:paraId="33A21BA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A345F8" w14:textId="77777777" w:rsidR="00D55B7F" w:rsidRPr="00EF34F1" w:rsidRDefault="00D55B7F" w:rsidP="00361A8F">
            <w:pPr>
              <w:rPr>
                <w:rFonts w:ascii="Arial" w:hAnsi="Arial" w:cs="Arial"/>
                <w:sz w:val="20"/>
                <w:szCs w:val="20"/>
              </w:rPr>
            </w:pPr>
            <w:r w:rsidRPr="00EF34F1">
              <w:rPr>
                <w:rFonts w:ascii="Arial" w:hAnsi="Arial" w:cs="Arial"/>
                <w:sz w:val="20"/>
                <w:szCs w:val="20"/>
              </w:rPr>
              <w:t> </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C02D82" w14:textId="0566870F" w:rsidR="00D55B7F" w:rsidRPr="00EF34F1" w:rsidRDefault="0088104D" w:rsidP="00361A8F">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B9EBC14" w14:textId="1D627371" w:rsidR="00D55B7F" w:rsidRPr="00EF34F1" w:rsidRDefault="0088104D" w:rsidP="00361A8F">
            <w:pPr>
              <w:jc w:val="right"/>
              <w:rPr>
                <w:rFonts w:ascii="Arial" w:hAnsi="Arial" w:cs="Arial"/>
                <w:b/>
                <w:bCs/>
                <w:sz w:val="24"/>
                <w:szCs w:val="24"/>
              </w:rPr>
            </w:pPr>
            <w:r>
              <w:rPr>
                <w:rFonts w:ascii="Arial" w:hAnsi="Arial" w:cs="Arial"/>
                <w:b/>
                <w:bCs/>
                <w:sz w:val="24"/>
                <w:szCs w:val="24"/>
              </w:rPr>
              <w:t>2021/22</w:t>
            </w:r>
          </w:p>
        </w:tc>
      </w:tr>
      <w:tr w:rsidR="00450938" w:rsidRPr="00EF34F1" w14:paraId="1AA974A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039EAF" w14:textId="7A8B8A0A" w:rsidR="00450938" w:rsidRPr="00127690" w:rsidRDefault="00450938">
            <w:pPr>
              <w:rPr>
                <w:rFonts w:ascii="Arial" w:hAnsi="Arial" w:cs="Arial"/>
                <w:sz w:val="20"/>
                <w:szCs w:val="20"/>
              </w:rPr>
            </w:pPr>
            <w:r w:rsidRPr="00127690">
              <w:rPr>
                <w:rFonts w:ascii="Arial" w:hAnsi="Arial" w:cs="Arial"/>
                <w:sz w:val="20"/>
                <w:szCs w:val="20"/>
              </w:rPr>
              <w:t>Personal savings allowance for basic rate taxpayers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EEB54B3" w14:textId="039A9BB7" w:rsidR="00450938" w:rsidRPr="00F34955" w:rsidRDefault="000A322D" w:rsidP="00D55B7F">
            <w:pPr>
              <w:jc w:val="right"/>
              <w:rPr>
                <w:rFonts w:ascii="Arial" w:hAnsi="Arial" w:cs="Arial"/>
                <w:sz w:val="20"/>
                <w:szCs w:val="20"/>
              </w:rPr>
            </w:pPr>
            <w:r w:rsidRPr="00F34955">
              <w:rPr>
                <w:rFonts w:ascii="Arial" w:hAnsi="Arial" w:cs="Arial"/>
                <w:sz w:val="20"/>
                <w:szCs w:val="20"/>
              </w:rPr>
              <w:t>£</w:t>
            </w:r>
            <w:r w:rsidR="00450938" w:rsidRPr="00F34955">
              <w:rPr>
                <w:rFonts w:ascii="Arial" w:hAnsi="Arial" w:cs="Arial"/>
                <w:sz w:val="20"/>
                <w:szCs w:val="20"/>
              </w:rPr>
              <w:t>1,000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51D288D" w14:textId="0BF4F5E3" w:rsidR="00450938" w:rsidRPr="004878FB" w:rsidRDefault="000A322D"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1,000</w:t>
            </w:r>
          </w:p>
        </w:tc>
      </w:tr>
      <w:tr w:rsidR="00450938" w:rsidRPr="00EF34F1" w14:paraId="09D517C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1EDE750" w14:textId="77777777" w:rsidR="00450938" w:rsidRPr="00127690" w:rsidRDefault="00450938" w:rsidP="000C4D6F">
            <w:pPr>
              <w:rPr>
                <w:rFonts w:ascii="Arial" w:hAnsi="Arial" w:cs="Arial"/>
                <w:sz w:val="20"/>
                <w:szCs w:val="20"/>
              </w:rPr>
            </w:pPr>
            <w:r w:rsidRPr="00127690">
              <w:rPr>
                <w:rFonts w:ascii="Arial" w:hAnsi="Arial" w:cs="Arial"/>
                <w:sz w:val="20"/>
                <w:szCs w:val="20"/>
              </w:rPr>
              <w:t xml:space="preserve">Personal savings allowance for higher rate taxpayers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ECFD96E" w14:textId="4F89ACCD" w:rsidR="00450938" w:rsidRPr="00F34955" w:rsidRDefault="000A322D" w:rsidP="00D55B7F">
            <w:pPr>
              <w:jc w:val="right"/>
              <w:rPr>
                <w:rFonts w:ascii="Arial" w:hAnsi="Arial" w:cs="Arial"/>
                <w:sz w:val="20"/>
                <w:szCs w:val="20"/>
              </w:rPr>
            </w:pPr>
            <w:r w:rsidRPr="00F34955">
              <w:rPr>
                <w:rFonts w:ascii="Arial" w:hAnsi="Arial" w:cs="Arial"/>
                <w:sz w:val="20"/>
                <w:szCs w:val="20"/>
              </w:rPr>
              <w:t>£</w:t>
            </w:r>
            <w:r w:rsidR="00450938" w:rsidRPr="00F34955">
              <w:rPr>
                <w:rFonts w:ascii="Arial" w:hAnsi="Arial" w:cs="Arial"/>
                <w:sz w:val="20"/>
                <w:szCs w:val="20"/>
              </w:rPr>
              <w:t>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6D5240F" w14:textId="5EC0ACCF" w:rsidR="00450938" w:rsidRPr="004878FB" w:rsidRDefault="000A322D"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500</w:t>
            </w:r>
          </w:p>
        </w:tc>
      </w:tr>
      <w:tr w:rsidR="00450938" w:rsidRPr="00EF34F1" w14:paraId="3C859B3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4EFE46AC" w14:textId="77777777" w:rsidR="00450938" w:rsidRPr="00127690" w:rsidRDefault="00450938" w:rsidP="009D2B0D">
            <w:pPr>
              <w:rPr>
                <w:rFonts w:ascii="Arial" w:hAnsi="Arial" w:cs="Arial"/>
                <w:sz w:val="20"/>
                <w:szCs w:val="20"/>
              </w:rPr>
            </w:pPr>
            <w:r w:rsidRPr="00127690">
              <w:rPr>
                <w:rFonts w:ascii="Arial" w:hAnsi="Arial" w:cs="Arial"/>
                <w:sz w:val="20"/>
                <w:szCs w:val="20"/>
              </w:rPr>
              <w:t xml:space="preserve">Personal savings allowance for additional rate taxpayers </w:t>
            </w:r>
          </w:p>
        </w:tc>
        <w:tc>
          <w:tcPr>
            <w:tcW w:w="1842" w:type="dxa"/>
            <w:gridSpan w:val="4"/>
            <w:tcBorders>
              <w:top w:val="single" w:sz="4" w:space="0" w:color="auto"/>
              <w:left w:val="single" w:sz="4" w:space="0" w:color="auto"/>
              <w:bottom w:val="single" w:sz="4" w:space="0" w:color="auto"/>
              <w:right w:val="single" w:sz="4" w:space="0" w:color="auto"/>
            </w:tcBorders>
            <w:noWrap/>
          </w:tcPr>
          <w:p w14:paraId="0BEA075C" w14:textId="77718A7B" w:rsidR="00450938" w:rsidRPr="00127690" w:rsidRDefault="00497A24" w:rsidP="00D55B7F">
            <w:pPr>
              <w:jc w:val="right"/>
              <w:rPr>
                <w:rFonts w:ascii="Arial" w:hAnsi="Arial" w:cs="Arial"/>
                <w:sz w:val="20"/>
                <w:szCs w:val="20"/>
              </w:rPr>
            </w:pPr>
            <w:r>
              <w:rPr>
                <w:rFonts w:ascii="Arial" w:hAnsi="Arial" w:cs="Arial"/>
                <w:sz w:val="20"/>
                <w:szCs w:val="20"/>
              </w:rPr>
              <w:t>£</w:t>
            </w:r>
            <w:r w:rsidR="00450938" w:rsidRPr="00127690">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tcPr>
          <w:p w14:paraId="2C2903DA" w14:textId="59DA78E8" w:rsidR="00450938" w:rsidRPr="004878FB" w:rsidRDefault="00497A24" w:rsidP="00D55B7F">
            <w:pPr>
              <w:jc w:val="right"/>
              <w:rPr>
                <w:rFonts w:ascii="Arial" w:hAnsi="Arial" w:cs="Arial"/>
                <w:sz w:val="20"/>
                <w:szCs w:val="20"/>
              </w:rPr>
            </w:pPr>
            <w:r w:rsidRPr="004878FB">
              <w:rPr>
                <w:rFonts w:ascii="Arial" w:hAnsi="Arial" w:cs="Arial"/>
                <w:sz w:val="20"/>
                <w:szCs w:val="20"/>
              </w:rPr>
              <w:t>£</w:t>
            </w:r>
            <w:r w:rsidR="00450938" w:rsidRPr="004878FB">
              <w:rPr>
                <w:rFonts w:ascii="Arial" w:hAnsi="Arial" w:cs="Arial"/>
                <w:sz w:val="20"/>
                <w:szCs w:val="20"/>
              </w:rPr>
              <w:t>0</w:t>
            </w:r>
          </w:p>
        </w:tc>
      </w:tr>
      <w:tr w:rsidR="000775D6" w:rsidRPr="00EF34F1" w14:paraId="599F2824"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CA0385D" w14:textId="7D1AB0E7" w:rsidR="000775D6" w:rsidRPr="00C4438E" w:rsidRDefault="00463D7C" w:rsidP="000775D6">
            <w:pPr>
              <w:rPr>
                <w:rFonts w:ascii="Arial" w:hAnsi="Arial" w:cs="Arial"/>
                <w:sz w:val="18"/>
                <w:szCs w:val="18"/>
              </w:rPr>
            </w:pPr>
            <w:r w:rsidRPr="00C4438E">
              <w:rPr>
                <w:rFonts w:ascii="Arial" w:hAnsi="Arial" w:cs="Arial"/>
                <w:bCs/>
                <w:i/>
                <w:sz w:val="18"/>
                <w:szCs w:val="18"/>
              </w:rPr>
              <w:t xml:space="preserve">Note </w:t>
            </w:r>
            <w:r w:rsidR="00EF1758" w:rsidRPr="00C4438E">
              <w:rPr>
                <w:rFonts w:ascii="Arial" w:hAnsi="Arial" w:cs="Arial"/>
                <w:i/>
                <w:iCs/>
                <w:sz w:val="18"/>
                <w:szCs w:val="18"/>
              </w:rPr>
              <w:t>5</w:t>
            </w:r>
            <w:r w:rsidRPr="00C4438E">
              <w:rPr>
                <w:rFonts w:ascii="Arial" w:hAnsi="Arial" w:cs="Arial"/>
                <w:i/>
                <w:iCs/>
                <w:sz w:val="18"/>
                <w:szCs w:val="18"/>
              </w:rPr>
              <w:t>:</w:t>
            </w:r>
            <w:r w:rsidR="000775D6" w:rsidRPr="00C4438E">
              <w:rPr>
                <w:rFonts w:ascii="Arial" w:hAnsi="Arial" w:cs="Arial"/>
                <w:i/>
                <w:iCs/>
                <w:sz w:val="18"/>
                <w:szCs w:val="18"/>
              </w:rPr>
              <w:t xml:space="preserve"> </w:t>
            </w:r>
            <w:r w:rsidR="00683592">
              <w:rPr>
                <w:rFonts w:ascii="Arial" w:hAnsi="Arial" w:cs="Arial"/>
                <w:i/>
                <w:iCs/>
                <w:sz w:val="18"/>
                <w:szCs w:val="18"/>
              </w:rPr>
              <w:t>f</w:t>
            </w:r>
            <w:r w:rsidR="000775D6" w:rsidRPr="00C4438E">
              <w:rPr>
                <w:rFonts w:ascii="Arial" w:hAnsi="Arial" w:cs="Arial"/>
                <w:i/>
                <w:iCs/>
                <w:sz w:val="18"/>
                <w:szCs w:val="18"/>
              </w:rPr>
              <w:t>rom 2016</w:t>
            </w:r>
            <w:r w:rsidRPr="00C4438E">
              <w:rPr>
                <w:rFonts w:ascii="Arial" w:hAnsi="Arial" w:cs="Arial"/>
                <w:i/>
                <w:iCs/>
                <w:sz w:val="18"/>
                <w:szCs w:val="18"/>
              </w:rPr>
              <w:t>/</w:t>
            </w:r>
            <w:r w:rsidR="000775D6" w:rsidRPr="00C4438E">
              <w:rPr>
                <w:rFonts w:ascii="Arial" w:hAnsi="Arial" w:cs="Arial"/>
                <w:i/>
                <w:iCs/>
                <w:sz w:val="18"/>
                <w:szCs w:val="18"/>
              </w:rPr>
              <w:t xml:space="preserve">17 onwards, all individuals </w:t>
            </w:r>
            <w:r w:rsidR="00E3363B" w:rsidRPr="00C4438E">
              <w:rPr>
                <w:rFonts w:ascii="Arial" w:hAnsi="Arial" w:cs="Arial"/>
                <w:i/>
                <w:iCs/>
                <w:sz w:val="18"/>
                <w:szCs w:val="18"/>
              </w:rPr>
              <w:t>are</w:t>
            </w:r>
            <w:r w:rsidR="000775D6" w:rsidRPr="00C4438E">
              <w:rPr>
                <w:rFonts w:ascii="Arial" w:hAnsi="Arial" w:cs="Arial"/>
                <w:i/>
                <w:iCs/>
                <w:sz w:val="18"/>
                <w:szCs w:val="18"/>
              </w:rPr>
              <w:t xml:space="preserve"> entitled to the same personal allowance, regardless of the individual</w:t>
            </w:r>
            <w:r w:rsidR="00A031A8" w:rsidRPr="00C4438E">
              <w:rPr>
                <w:rFonts w:ascii="Arial" w:hAnsi="Arial" w:cs="Arial"/>
                <w:i/>
                <w:iCs/>
                <w:sz w:val="18"/>
                <w:szCs w:val="18"/>
              </w:rPr>
              <w:t>’</w:t>
            </w:r>
            <w:r w:rsidR="000775D6" w:rsidRPr="00C4438E">
              <w:rPr>
                <w:rFonts w:ascii="Arial" w:hAnsi="Arial" w:cs="Arial"/>
                <w:i/>
                <w:iCs/>
                <w:sz w:val="18"/>
                <w:szCs w:val="18"/>
              </w:rPr>
              <w:t>s date of birth. This allowance is subject to the £100,000 income limit</w:t>
            </w:r>
            <w:r w:rsidR="00742F80">
              <w:rPr>
                <w:rFonts w:ascii="Arial" w:hAnsi="Arial" w:cs="Arial"/>
                <w:i/>
                <w:iCs/>
                <w:sz w:val="18"/>
                <w:szCs w:val="18"/>
              </w:rPr>
              <w:t>,</w:t>
            </w:r>
            <w:r w:rsidR="000775D6" w:rsidRPr="00C4438E">
              <w:rPr>
                <w:rFonts w:ascii="Arial" w:hAnsi="Arial" w:cs="Arial"/>
                <w:i/>
                <w:iCs/>
                <w:sz w:val="18"/>
                <w:szCs w:val="18"/>
              </w:rPr>
              <w:t xml:space="preserve"> which applies regardless of the individual’s date of birth.</w:t>
            </w:r>
          </w:p>
        </w:tc>
      </w:tr>
      <w:tr w:rsidR="000775D6" w:rsidRPr="00EF34F1" w14:paraId="5FECCFBA"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49D3DDB2" w14:textId="148732B3" w:rsidR="000775D6" w:rsidRPr="00C4438E" w:rsidRDefault="00A031A8" w:rsidP="00376333">
            <w:pPr>
              <w:rPr>
                <w:rFonts w:ascii="Arial" w:hAnsi="Arial" w:cs="Arial"/>
                <w:sz w:val="18"/>
                <w:szCs w:val="18"/>
              </w:rPr>
            </w:pPr>
            <w:r w:rsidRPr="00C4438E">
              <w:rPr>
                <w:rFonts w:ascii="Arial" w:hAnsi="Arial" w:cs="Arial"/>
                <w:bCs/>
                <w:i/>
                <w:sz w:val="18"/>
                <w:szCs w:val="18"/>
              </w:rPr>
              <w:t xml:space="preserve">Note </w:t>
            </w:r>
            <w:r w:rsidR="00EF2337" w:rsidRPr="00C4438E">
              <w:rPr>
                <w:rFonts w:ascii="Arial" w:hAnsi="Arial" w:cs="Arial"/>
                <w:i/>
                <w:iCs/>
                <w:sz w:val="18"/>
                <w:szCs w:val="18"/>
              </w:rPr>
              <w:t>6</w:t>
            </w:r>
            <w:r w:rsidRPr="00C4438E">
              <w:rPr>
                <w:rFonts w:ascii="Arial" w:hAnsi="Arial" w:cs="Arial"/>
                <w:i/>
                <w:iCs/>
                <w:sz w:val="18"/>
                <w:szCs w:val="18"/>
              </w:rPr>
              <w:t>:</w:t>
            </w:r>
            <w:r w:rsidR="000775D6" w:rsidRPr="00C4438E">
              <w:rPr>
                <w:rFonts w:ascii="Arial" w:hAnsi="Arial" w:cs="Arial"/>
                <w:i/>
                <w:iCs/>
                <w:sz w:val="18"/>
                <w:szCs w:val="18"/>
              </w:rPr>
              <w:t xml:space="preserve"> </w:t>
            </w:r>
            <w:r w:rsidR="00742F80">
              <w:rPr>
                <w:rFonts w:ascii="Arial" w:hAnsi="Arial" w:cs="Arial"/>
                <w:i/>
                <w:iCs/>
                <w:sz w:val="18"/>
                <w:szCs w:val="18"/>
              </w:rPr>
              <w:t>t</w:t>
            </w:r>
            <w:r w:rsidR="000775D6" w:rsidRPr="00C4438E">
              <w:rPr>
                <w:rFonts w:ascii="Arial" w:hAnsi="Arial" w:cs="Arial"/>
                <w:i/>
                <w:iCs/>
                <w:sz w:val="18"/>
                <w:szCs w:val="18"/>
              </w:rPr>
              <w:t>his allowance is reduced by £1 for every £2 of income in excess of the income limit, but married couple’s allowance will not reduce below £3,</w:t>
            </w:r>
            <w:r w:rsidR="00812081">
              <w:rPr>
                <w:rFonts w:ascii="Arial" w:hAnsi="Arial" w:cs="Arial"/>
                <w:i/>
                <w:iCs/>
                <w:sz w:val="18"/>
                <w:szCs w:val="18"/>
              </w:rPr>
              <w:t>64</w:t>
            </w:r>
            <w:r w:rsidR="00376333" w:rsidRPr="00C4438E">
              <w:rPr>
                <w:rFonts w:ascii="Arial" w:hAnsi="Arial" w:cs="Arial"/>
                <w:i/>
                <w:iCs/>
                <w:sz w:val="18"/>
                <w:szCs w:val="18"/>
              </w:rPr>
              <w:t>0</w:t>
            </w:r>
            <w:r w:rsidR="000775D6" w:rsidRPr="00C4438E">
              <w:rPr>
                <w:rFonts w:ascii="Arial" w:hAnsi="Arial" w:cs="Arial"/>
                <w:i/>
                <w:iCs/>
                <w:sz w:val="18"/>
                <w:szCs w:val="18"/>
              </w:rPr>
              <w:t>.</w:t>
            </w:r>
          </w:p>
        </w:tc>
      </w:tr>
      <w:tr w:rsidR="001456FA" w:rsidRPr="00EF34F1" w14:paraId="1D07F3D5"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1AE9F926" w14:textId="6BCC9923" w:rsidR="001456FA" w:rsidRPr="00C4438E" w:rsidRDefault="00A031A8" w:rsidP="001456FA">
            <w:pPr>
              <w:rPr>
                <w:rFonts w:ascii="Arial" w:hAnsi="Arial" w:cs="Arial"/>
                <w:sz w:val="18"/>
                <w:szCs w:val="18"/>
              </w:rPr>
            </w:pPr>
            <w:r w:rsidRPr="00C4438E">
              <w:rPr>
                <w:rFonts w:ascii="Arial" w:hAnsi="Arial" w:cs="Arial"/>
                <w:bCs/>
                <w:i/>
                <w:sz w:val="18"/>
                <w:szCs w:val="18"/>
              </w:rPr>
              <w:t xml:space="preserve">Note </w:t>
            </w:r>
            <w:r w:rsidR="00196B71" w:rsidRPr="00C4438E">
              <w:rPr>
                <w:rFonts w:ascii="Arial" w:hAnsi="Arial" w:cs="Arial"/>
                <w:bCs/>
                <w:i/>
                <w:sz w:val="18"/>
                <w:szCs w:val="18"/>
              </w:rPr>
              <w:t>7</w:t>
            </w:r>
            <w:r w:rsidRPr="00C4438E">
              <w:rPr>
                <w:rFonts w:ascii="Arial" w:hAnsi="Arial" w:cs="Arial"/>
                <w:bCs/>
                <w:i/>
                <w:sz w:val="18"/>
                <w:szCs w:val="18"/>
              </w:rPr>
              <w:t>:</w:t>
            </w:r>
            <w:r w:rsidR="001456FA" w:rsidRPr="00C4438E">
              <w:rPr>
                <w:rFonts w:ascii="Arial" w:hAnsi="Arial" w:cs="Arial"/>
                <w:i/>
                <w:iCs/>
                <w:sz w:val="18"/>
                <w:szCs w:val="18"/>
              </w:rPr>
              <w:t xml:space="preserve"> </w:t>
            </w:r>
            <w:r w:rsidR="004D44BB">
              <w:rPr>
                <w:rFonts w:ascii="Arial" w:hAnsi="Arial" w:cs="Arial"/>
                <w:i/>
                <w:iCs/>
                <w:sz w:val="18"/>
                <w:szCs w:val="18"/>
              </w:rPr>
              <w:t>p</w:t>
            </w:r>
            <w:r w:rsidR="001456FA" w:rsidRPr="00C4438E">
              <w:rPr>
                <w:rFonts w:ascii="Arial" w:hAnsi="Arial" w:cs="Arial"/>
                <w:i/>
                <w:iCs/>
                <w:sz w:val="18"/>
                <w:szCs w:val="18"/>
              </w:rPr>
              <w:t>ersonal allowances are subject to the £100,000 income limit</w:t>
            </w:r>
            <w:r w:rsidR="00E3363B" w:rsidRPr="00C4438E">
              <w:rPr>
                <w:rFonts w:ascii="Arial" w:hAnsi="Arial" w:cs="Arial"/>
                <w:i/>
                <w:iCs/>
                <w:sz w:val="18"/>
                <w:szCs w:val="18"/>
              </w:rPr>
              <w:t>,</w:t>
            </w:r>
            <w:r w:rsidR="001456FA" w:rsidRPr="00C4438E">
              <w:rPr>
                <w:rFonts w:ascii="Arial" w:hAnsi="Arial" w:cs="Arial"/>
                <w:i/>
                <w:iCs/>
                <w:sz w:val="18"/>
                <w:szCs w:val="18"/>
              </w:rPr>
              <w:t xml:space="preserve"> which applies regardless of the individual’s date of birth. The individual’s personal allowance is reduced where their income is above this limit. The allowance is reduced by £1 for every £2 above the limit, down to zero.</w:t>
            </w:r>
          </w:p>
        </w:tc>
      </w:tr>
      <w:tr w:rsidR="001456FA" w:rsidRPr="00EF34F1" w14:paraId="37DB942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552201BA" w14:textId="38C61097" w:rsidR="001456FA" w:rsidRPr="00C4438E" w:rsidRDefault="00EE6AA6" w:rsidP="001456FA">
            <w:pPr>
              <w:rPr>
                <w:rFonts w:ascii="Arial" w:hAnsi="Arial" w:cs="Arial"/>
                <w:i/>
                <w:iCs/>
                <w:sz w:val="18"/>
                <w:szCs w:val="18"/>
              </w:rPr>
            </w:pPr>
            <w:r w:rsidRPr="00C4438E">
              <w:rPr>
                <w:rFonts w:ascii="Arial" w:hAnsi="Arial" w:cs="Arial"/>
                <w:i/>
                <w:iCs/>
                <w:sz w:val="18"/>
                <w:szCs w:val="18"/>
              </w:rPr>
              <w:t xml:space="preserve">Note </w:t>
            </w:r>
            <w:r w:rsidR="00E84D9F" w:rsidRPr="00C4438E">
              <w:rPr>
                <w:rFonts w:ascii="Arial" w:hAnsi="Arial" w:cs="Arial"/>
                <w:i/>
                <w:iCs/>
                <w:sz w:val="18"/>
                <w:szCs w:val="18"/>
              </w:rPr>
              <w:t>8</w:t>
            </w:r>
            <w:r w:rsidRPr="00C4438E">
              <w:rPr>
                <w:rFonts w:ascii="Arial" w:hAnsi="Arial" w:cs="Arial"/>
                <w:i/>
                <w:iCs/>
                <w:sz w:val="18"/>
                <w:szCs w:val="18"/>
              </w:rPr>
              <w:t>:</w:t>
            </w:r>
            <w:r w:rsidR="001456FA" w:rsidRPr="00C4438E">
              <w:rPr>
                <w:rFonts w:ascii="Arial" w:hAnsi="Arial" w:cs="Arial"/>
                <w:i/>
                <w:iCs/>
                <w:sz w:val="18"/>
                <w:szCs w:val="18"/>
              </w:rPr>
              <w:t xml:space="preserve"> </w:t>
            </w:r>
            <w:r w:rsidR="00D93C70">
              <w:rPr>
                <w:rFonts w:ascii="Arial" w:hAnsi="Arial" w:cs="Arial"/>
                <w:i/>
                <w:iCs/>
                <w:sz w:val="18"/>
                <w:szCs w:val="18"/>
              </w:rPr>
              <w:t>t</w:t>
            </w:r>
            <w:r w:rsidR="001456FA" w:rsidRPr="00C4438E">
              <w:rPr>
                <w:rFonts w:ascii="Arial" w:hAnsi="Arial" w:cs="Arial"/>
                <w:i/>
                <w:iCs/>
                <w:sz w:val="18"/>
                <w:szCs w:val="18"/>
              </w:rPr>
              <w:t>his allowance is available to married couples and civil partners who are not in receipt of married couple’s allowance. A spouse or civil partner who is not liable to income tax</w:t>
            </w:r>
            <w:r w:rsidR="00E81170" w:rsidRPr="00C4438E">
              <w:rPr>
                <w:rFonts w:ascii="Arial" w:hAnsi="Arial" w:cs="Arial"/>
                <w:i/>
                <w:iCs/>
                <w:sz w:val="18"/>
                <w:szCs w:val="18"/>
              </w:rPr>
              <w:t>,</w:t>
            </w:r>
            <w:r w:rsidR="001456FA" w:rsidRPr="00C4438E">
              <w:rPr>
                <w:rFonts w:ascii="Arial" w:hAnsi="Arial" w:cs="Arial"/>
                <w:i/>
                <w:iCs/>
                <w:sz w:val="18"/>
                <w:szCs w:val="18"/>
              </w:rPr>
              <w:t xml:space="preserve"> or not liable at the higher or additional rates, can transfer this amount of their unused personal allowance to their spouse or civil partner. The recipient must not be liable to income tax at the higher or additional rates.</w:t>
            </w:r>
          </w:p>
          <w:p w14:paraId="14A92420" w14:textId="4EF5ECAA" w:rsidR="00C4438E" w:rsidRPr="00C4438E" w:rsidRDefault="001456FA" w:rsidP="00E40280">
            <w:pPr>
              <w:rPr>
                <w:rFonts w:ascii="Arial" w:hAnsi="Arial" w:cs="Arial"/>
                <w:sz w:val="18"/>
                <w:szCs w:val="18"/>
              </w:rPr>
            </w:pPr>
            <w:r w:rsidRPr="00C4438E">
              <w:rPr>
                <w:rFonts w:ascii="Arial" w:hAnsi="Arial" w:cs="Arial"/>
                <w:i/>
                <w:iCs/>
                <w:sz w:val="18"/>
                <w:szCs w:val="18"/>
              </w:rPr>
              <w:t>If the couple marry or register a civil partnership, they</w:t>
            </w:r>
            <w:r w:rsidR="00E81170" w:rsidRPr="00C4438E">
              <w:rPr>
                <w:rFonts w:ascii="Arial" w:hAnsi="Arial" w:cs="Arial"/>
                <w:i/>
                <w:iCs/>
                <w:sz w:val="18"/>
                <w:szCs w:val="18"/>
              </w:rPr>
              <w:t xml:space="preserve"> wi</w:t>
            </w:r>
            <w:r w:rsidRPr="00C4438E">
              <w:rPr>
                <w:rFonts w:ascii="Arial" w:hAnsi="Arial" w:cs="Arial"/>
                <w:i/>
                <w:iCs/>
                <w:sz w:val="18"/>
                <w:szCs w:val="18"/>
              </w:rPr>
              <w:t>ll get the allowance on a pro-rata basis for the rest of that tax year. If one of them dies</w:t>
            </w:r>
            <w:r w:rsidR="00AB0BBC" w:rsidRPr="00C4438E">
              <w:rPr>
                <w:rFonts w:ascii="Arial" w:hAnsi="Arial" w:cs="Arial"/>
                <w:i/>
                <w:iCs/>
                <w:sz w:val="18"/>
                <w:szCs w:val="18"/>
              </w:rPr>
              <w:t xml:space="preserve"> or</w:t>
            </w:r>
            <w:r w:rsidRPr="00C4438E">
              <w:rPr>
                <w:rFonts w:ascii="Arial" w:hAnsi="Arial" w:cs="Arial"/>
                <w:i/>
                <w:iCs/>
                <w:sz w:val="18"/>
                <w:szCs w:val="18"/>
              </w:rPr>
              <w:t xml:space="preserve"> there is a divorce or separation, the allowance continues until the end of the tax year.</w:t>
            </w:r>
          </w:p>
        </w:tc>
      </w:tr>
      <w:tr w:rsidR="00E40280" w:rsidRPr="00EF34F1" w14:paraId="4FD583F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DCF5C4E" w14:textId="77777777" w:rsidR="00E40280" w:rsidRPr="00EF34F1" w:rsidRDefault="00E40280" w:rsidP="00E40280">
            <w:pPr>
              <w:rPr>
                <w:rFonts w:ascii="Arial" w:hAnsi="Arial" w:cs="Arial"/>
                <w:b/>
                <w:bCs/>
                <w:sz w:val="20"/>
                <w:szCs w:val="20"/>
              </w:rPr>
            </w:pPr>
            <w:r w:rsidRPr="00EF34F1">
              <w:rPr>
                <w:rFonts w:ascii="Arial" w:hAnsi="Arial" w:cs="Arial"/>
                <w:b/>
                <w:bCs/>
                <w:sz w:val="20"/>
                <w:szCs w:val="20"/>
              </w:rPr>
              <w:t>National insurance</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71508C3" w14:textId="5FAA70B3" w:rsidR="00E40280" w:rsidRPr="00EF34F1" w:rsidRDefault="00E40280" w:rsidP="00E40280">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CFDCE06" w14:textId="6172D659" w:rsidR="00E40280" w:rsidRPr="00EF34F1" w:rsidRDefault="00E40280" w:rsidP="00E40280">
            <w:pPr>
              <w:jc w:val="right"/>
              <w:rPr>
                <w:rFonts w:ascii="Arial" w:hAnsi="Arial" w:cs="Arial"/>
                <w:b/>
                <w:bCs/>
                <w:sz w:val="20"/>
                <w:szCs w:val="20"/>
              </w:rPr>
            </w:pPr>
            <w:r>
              <w:rPr>
                <w:rFonts w:ascii="Arial" w:hAnsi="Arial" w:cs="Arial"/>
                <w:b/>
                <w:bCs/>
                <w:sz w:val="24"/>
                <w:szCs w:val="24"/>
              </w:rPr>
              <w:t>2021/22</w:t>
            </w:r>
          </w:p>
        </w:tc>
      </w:tr>
      <w:tr w:rsidR="00E40280" w:rsidRPr="00FE07BA" w14:paraId="3AC50BD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D344EA8" w14:textId="77777777" w:rsidR="00E40280" w:rsidRPr="00C770C2" w:rsidRDefault="00E40280" w:rsidP="00E40280">
            <w:pPr>
              <w:rPr>
                <w:rFonts w:ascii="Arial" w:hAnsi="Arial" w:cs="Arial"/>
                <w:sz w:val="20"/>
                <w:szCs w:val="20"/>
              </w:rPr>
            </w:pPr>
            <w:r w:rsidRPr="00C770C2">
              <w:rPr>
                <w:rFonts w:ascii="Arial" w:hAnsi="Arial" w:cs="Arial"/>
                <w:sz w:val="20"/>
                <w:szCs w:val="20"/>
              </w:rPr>
              <w:t>Lower earnings limit, primary class 1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ABA5826" w14:textId="73890317" w:rsidR="00E40280" w:rsidRPr="003D624C" w:rsidRDefault="00E40280" w:rsidP="00E40280">
            <w:pPr>
              <w:jc w:val="right"/>
              <w:rPr>
                <w:rFonts w:ascii="Arial" w:hAnsi="Arial" w:cs="Arial"/>
                <w:sz w:val="20"/>
                <w:szCs w:val="20"/>
              </w:rPr>
            </w:pPr>
            <w:r w:rsidRPr="003D624C">
              <w:rPr>
                <w:rFonts w:ascii="Arial" w:hAnsi="Arial" w:cs="Arial"/>
                <w:sz w:val="20"/>
                <w:szCs w:val="20"/>
              </w:rPr>
              <w:t>£12</w:t>
            </w:r>
            <w:r w:rsidR="009F32E9" w:rsidRPr="003D624C">
              <w:rPr>
                <w:rFonts w:ascii="Arial" w:hAnsi="Arial" w:cs="Arial"/>
                <w:sz w:val="20"/>
                <w:szCs w:val="20"/>
              </w:rPr>
              <w:t>3</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9D490D6" w14:textId="6F7CB9F6" w:rsidR="00E40280" w:rsidRPr="00E40280" w:rsidRDefault="00E40280" w:rsidP="00E40280">
            <w:pPr>
              <w:jc w:val="right"/>
              <w:rPr>
                <w:rFonts w:ascii="Arial" w:hAnsi="Arial" w:cs="Arial"/>
                <w:sz w:val="20"/>
                <w:szCs w:val="20"/>
              </w:rPr>
            </w:pPr>
            <w:r w:rsidRPr="00E40280">
              <w:rPr>
                <w:rFonts w:ascii="Arial" w:hAnsi="Arial" w:cs="Arial"/>
                <w:sz w:val="20"/>
                <w:szCs w:val="20"/>
              </w:rPr>
              <w:t>£120</w:t>
            </w:r>
          </w:p>
        </w:tc>
      </w:tr>
      <w:tr w:rsidR="00E40280" w:rsidRPr="00FE07BA" w14:paraId="2D3B004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464872F" w14:textId="77777777" w:rsidR="00E40280" w:rsidRPr="00C770C2" w:rsidRDefault="00E40280" w:rsidP="00E40280">
            <w:pPr>
              <w:rPr>
                <w:rFonts w:ascii="Arial" w:hAnsi="Arial" w:cs="Arial"/>
                <w:sz w:val="20"/>
                <w:szCs w:val="20"/>
              </w:rPr>
            </w:pPr>
            <w:r w:rsidRPr="00C770C2">
              <w:rPr>
                <w:rFonts w:ascii="Arial" w:hAnsi="Arial" w:cs="Arial"/>
                <w:sz w:val="20"/>
                <w:szCs w:val="20"/>
              </w:rPr>
              <w:t>Upper earnings limit, primary class 1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FA2D983" w14:textId="77777777" w:rsidR="00E40280" w:rsidRPr="003D624C" w:rsidRDefault="00E40280" w:rsidP="00E40280">
            <w:pPr>
              <w:jc w:val="right"/>
              <w:rPr>
                <w:rFonts w:ascii="Arial" w:hAnsi="Arial" w:cs="Arial"/>
                <w:sz w:val="20"/>
                <w:szCs w:val="20"/>
              </w:rPr>
            </w:pPr>
            <w:r w:rsidRPr="003D624C">
              <w:rPr>
                <w:rFonts w:ascii="Arial" w:hAnsi="Arial" w:cs="Arial"/>
                <w:sz w:val="20"/>
                <w:szCs w:val="20"/>
              </w:rPr>
              <w:t>£967</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57F3C58" w14:textId="0545D72C" w:rsidR="00E40280" w:rsidRPr="00E40280" w:rsidRDefault="00E40280" w:rsidP="00E40280">
            <w:pPr>
              <w:jc w:val="right"/>
              <w:rPr>
                <w:rFonts w:ascii="Arial" w:hAnsi="Arial" w:cs="Arial"/>
                <w:sz w:val="20"/>
                <w:szCs w:val="20"/>
              </w:rPr>
            </w:pPr>
            <w:r w:rsidRPr="00E40280">
              <w:rPr>
                <w:rFonts w:ascii="Arial" w:hAnsi="Arial" w:cs="Arial"/>
                <w:sz w:val="20"/>
                <w:szCs w:val="20"/>
              </w:rPr>
              <w:t>£967</w:t>
            </w:r>
          </w:p>
        </w:tc>
      </w:tr>
      <w:tr w:rsidR="00E40280" w:rsidRPr="00FE07BA" w14:paraId="7798C85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B870EB1" w14:textId="6FBE8EE6" w:rsidR="00E40280" w:rsidRPr="00C770C2" w:rsidRDefault="00E40280" w:rsidP="00E40280">
            <w:pPr>
              <w:rPr>
                <w:rFonts w:ascii="Arial" w:hAnsi="Arial" w:cs="Arial"/>
                <w:sz w:val="20"/>
                <w:szCs w:val="20"/>
              </w:rPr>
            </w:pPr>
            <w:r w:rsidRPr="00C770C2">
              <w:rPr>
                <w:rFonts w:ascii="Arial" w:hAnsi="Arial" w:cs="Arial"/>
                <w:sz w:val="20"/>
                <w:szCs w:val="20"/>
              </w:rPr>
              <w:t>Apprentice upper secondary threshold (AUST) for under 21s</w:t>
            </w:r>
            <w:r w:rsidR="00D93C70">
              <w:rPr>
                <w:rFonts w:ascii="Arial" w:hAnsi="Arial" w:cs="Arial"/>
                <w:sz w:val="20"/>
                <w:szCs w:val="20"/>
              </w:rPr>
              <w:t>/</w:t>
            </w:r>
            <w:r w:rsidRPr="00C770C2">
              <w:rPr>
                <w:rFonts w:ascii="Arial" w:hAnsi="Arial" w:cs="Arial"/>
                <w:sz w:val="20"/>
                <w:szCs w:val="20"/>
              </w:rPr>
              <w:t>25s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4B8727" w14:textId="77777777" w:rsidR="00E40280" w:rsidRPr="003D624C" w:rsidRDefault="00E40280" w:rsidP="00E40280">
            <w:pPr>
              <w:jc w:val="right"/>
              <w:rPr>
                <w:rFonts w:ascii="Arial" w:hAnsi="Arial" w:cs="Arial"/>
                <w:sz w:val="20"/>
                <w:szCs w:val="20"/>
              </w:rPr>
            </w:pPr>
            <w:r w:rsidRPr="003D624C">
              <w:rPr>
                <w:rFonts w:ascii="Arial" w:hAnsi="Arial" w:cs="Arial"/>
                <w:sz w:val="20"/>
                <w:szCs w:val="20"/>
              </w:rPr>
              <w:t>£967</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78C9765" w14:textId="6B4F28FA" w:rsidR="00E40280" w:rsidRPr="00E40280" w:rsidRDefault="00E40280" w:rsidP="00E40280">
            <w:pPr>
              <w:jc w:val="right"/>
              <w:rPr>
                <w:rFonts w:ascii="Arial" w:hAnsi="Arial" w:cs="Arial"/>
                <w:sz w:val="20"/>
                <w:szCs w:val="20"/>
              </w:rPr>
            </w:pPr>
            <w:r w:rsidRPr="00E40280">
              <w:rPr>
                <w:rFonts w:ascii="Arial" w:hAnsi="Arial" w:cs="Arial"/>
                <w:sz w:val="20"/>
                <w:szCs w:val="20"/>
              </w:rPr>
              <w:t>£967</w:t>
            </w:r>
          </w:p>
        </w:tc>
      </w:tr>
      <w:tr w:rsidR="00E40280" w:rsidRPr="00FE07BA" w14:paraId="648F9EB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510BE51C" w14:textId="40318DF3" w:rsidR="00A01088" w:rsidRDefault="00E40280" w:rsidP="00E40280">
            <w:pPr>
              <w:rPr>
                <w:rFonts w:ascii="Arial" w:hAnsi="Arial" w:cs="Arial"/>
                <w:sz w:val="20"/>
                <w:szCs w:val="20"/>
              </w:rPr>
            </w:pPr>
            <w:r w:rsidRPr="00C770C2">
              <w:rPr>
                <w:rFonts w:ascii="Arial" w:hAnsi="Arial" w:cs="Arial"/>
                <w:sz w:val="20"/>
                <w:szCs w:val="20"/>
              </w:rPr>
              <w:t>Primary threshold (per week)</w:t>
            </w:r>
          </w:p>
          <w:p w14:paraId="481F6C55" w14:textId="547462E2" w:rsidR="00A01088" w:rsidRDefault="00E243B2" w:rsidP="00794DA4">
            <w:pPr>
              <w:rPr>
                <w:rFonts w:ascii="Arial" w:hAnsi="Arial" w:cs="Arial"/>
                <w:sz w:val="20"/>
                <w:szCs w:val="20"/>
              </w:rPr>
            </w:pPr>
            <w:r>
              <w:rPr>
                <w:rFonts w:ascii="Arial" w:hAnsi="Arial" w:cs="Arial"/>
                <w:sz w:val="20"/>
                <w:szCs w:val="20"/>
              </w:rPr>
              <w:t xml:space="preserve">From </w:t>
            </w:r>
            <w:r w:rsidR="00A01088">
              <w:rPr>
                <w:rFonts w:ascii="Arial" w:hAnsi="Arial" w:cs="Arial"/>
                <w:sz w:val="20"/>
                <w:szCs w:val="20"/>
              </w:rPr>
              <w:t>6</w:t>
            </w:r>
            <w:r>
              <w:rPr>
                <w:rFonts w:ascii="Arial" w:hAnsi="Arial" w:cs="Arial"/>
                <w:sz w:val="20"/>
                <w:szCs w:val="20"/>
              </w:rPr>
              <w:t xml:space="preserve"> April 2022 to 5 July 2022</w:t>
            </w:r>
          </w:p>
          <w:p w14:paraId="07F586B5" w14:textId="10026666" w:rsidR="00A01088" w:rsidRDefault="00E243B2" w:rsidP="00794DA4">
            <w:pPr>
              <w:rPr>
                <w:rFonts w:ascii="Arial" w:hAnsi="Arial" w:cs="Arial"/>
                <w:sz w:val="20"/>
                <w:szCs w:val="20"/>
              </w:rPr>
            </w:pPr>
            <w:r>
              <w:rPr>
                <w:rFonts w:ascii="Arial" w:hAnsi="Arial" w:cs="Arial"/>
                <w:sz w:val="20"/>
                <w:szCs w:val="20"/>
              </w:rPr>
              <w:t>From 6 July 2022 to 5 April 2023</w:t>
            </w:r>
          </w:p>
          <w:p w14:paraId="3B49C855" w14:textId="3B93CC24" w:rsidR="00682EB3" w:rsidRPr="00C770C2" w:rsidRDefault="00682EB3" w:rsidP="00E40280">
            <w:pPr>
              <w:rPr>
                <w:rFonts w:ascii="Arial" w:hAnsi="Arial" w:cs="Arial"/>
                <w:sz w:val="20"/>
                <w:szCs w:val="20"/>
              </w:rPr>
            </w:pP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294F121" w14:textId="7A8A2CAA" w:rsidR="00E40280" w:rsidRDefault="00E40280" w:rsidP="00E40280">
            <w:pPr>
              <w:jc w:val="right"/>
              <w:rPr>
                <w:rFonts w:ascii="Arial" w:hAnsi="Arial" w:cs="Arial"/>
                <w:sz w:val="20"/>
                <w:szCs w:val="20"/>
              </w:rPr>
            </w:pPr>
          </w:p>
          <w:p w14:paraId="75F4117F" w14:textId="77777777" w:rsidR="00A01088" w:rsidRDefault="00A01088" w:rsidP="00E40280">
            <w:pPr>
              <w:jc w:val="right"/>
              <w:rPr>
                <w:rFonts w:ascii="Arial" w:hAnsi="Arial" w:cs="Arial"/>
                <w:sz w:val="20"/>
                <w:szCs w:val="20"/>
              </w:rPr>
            </w:pPr>
            <w:r>
              <w:rPr>
                <w:rFonts w:ascii="Arial" w:hAnsi="Arial" w:cs="Arial"/>
                <w:sz w:val="20"/>
                <w:szCs w:val="20"/>
              </w:rPr>
              <w:t>£190</w:t>
            </w:r>
          </w:p>
          <w:p w14:paraId="189736EE" w14:textId="75D288B1" w:rsidR="00A01088" w:rsidRPr="003D624C" w:rsidRDefault="00A01088" w:rsidP="00E40280">
            <w:pPr>
              <w:jc w:val="right"/>
              <w:rPr>
                <w:rFonts w:ascii="Arial" w:hAnsi="Arial" w:cs="Arial"/>
                <w:sz w:val="20"/>
                <w:szCs w:val="20"/>
              </w:rPr>
            </w:pPr>
            <w:r>
              <w:rPr>
                <w:rFonts w:ascii="Arial" w:hAnsi="Arial" w:cs="Arial"/>
                <w:sz w:val="20"/>
                <w:szCs w:val="20"/>
              </w:rPr>
              <w:t>£242</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C22F7F6" w14:textId="001AE4A1" w:rsidR="00E40280" w:rsidRPr="00E40280" w:rsidRDefault="00E40280" w:rsidP="00E40280">
            <w:pPr>
              <w:jc w:val="right"/>
              <w:rPr>
                <w:rFonts w:ascii="Arial" w:hAnsi="Arial" w:cs="Arial"/>
                <w:sz w:val="20"/>
                <w:szCs w:val="20"/>
              </w:rPr>
            </w:pPr>
            <w:r w:rsidRPr="00E40280">
              <w:rPr>
                <w:rFonts w:ascii="Arial" w:hAnsi="Arial" w:cs="Arial"/>
                <w:sz w:val="20"/>
                <w:szCs w:val="20"/>
              </w:rPr>
              <w:t>£184</w:t>
            </w:r>
          </w:p>
        </w:tc>
      </w:tr>
      <w:tr w:rsidR="00E40280" w:rsidRPr="00FE07BA" w14:paraId="2E03E85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4C8A02E" w14:textId="77777777" w:rsidR="00E40280" w:rsidRPr="00C770C2" w:rsidRDefault="00E40280" w:rsidP="00E40280">
            <w:pPr>
              <w:rPr>
                <w:rFonts w:ascii="Arial" w:hAnsi="Arial" w:cs="Arial"/>
                <w:sz w:val="20"/>
                <w:szCs w:val="20"/>
              </w:rPr>
            </w:pPr>
            <w:r w:rsidRPr="00C770C2">
              <w:rPr>
                <w:rFonts w:ascii="Arial" w:hAnsi="Arial" w:cs="Arial"/>
                <w:sz w:val="20"/>
                <w:szCs w:val="20"/>
              </w:rPr>
              <w:t>Secondary threshold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FB5EC69" w14:textId="70DB1E90" w:rsidR="00E40280" w:rsidRPr="003D624C" w:rsidRDefault="00E40280" w:rsidP="00E40280">
            <w:pPr>
              <w:jc w:val="right"/>
              <w:rPr>
                <w:rFonts w:ascii="Arial" w:hAnsi="Arial" w:cs="Arial"/>
                <w:sz w:val="20"/>
                <w:szCs w:val="20"/>
              </w:rPr>
            </w:pPr>
            <w:r w:rsidRPr="003D624C">
              <w:rPr>
                <w:rFonts w:ascii="Arial" w:hAnsi="Arial" w:cs="Arial"/>
                <w:sz w:val="20"/>
                <w:szCs w:val="20"/>
              </w:rPr>
              <w:t>£17</w:t>
            </w:r>
            <w:r w:rsidR="00AC6271" w:rsidRPr="003D624C">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13B60F9" w14:textId="7886B539" w:rsidR="00E40280" w:rsidRPr="00E40280" w:rsidRDefault="00E40280" w:rsidP="00E40280">
            <w:pPr>
              <w:jc w:val="right"/>
              <w:rPr>
                <w:rFonts w:ascii="Arial" w:hAnsi="Arial" w:cs="Arial"/>
                <w:sz w:val="20"/>
                <w:szCs w:val="20"/>
              </w:rPr>
            </w:pPr>
            <w:r w:rsidRPr="00E40280">
              <w:rPr>
                <w:rFonts w:ascii="Arial" w:hAnsi="Arial" w:cs="Arial"/>
                <w:sz w:val="20"/>
                <w:szCs w:val="20"/>
              </w:rPr>
              <w:t>£170</w:t>
            </w:r>
          </w:p>
        </w:tc>
      </w:tr>
      <w:tr w:rsidR="00E40280" w:rsidRPr="00FE07BA" w14:paraId="26A830A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6F5B1DD" w14:textId="02376DB9" w:rsidR="00E40280" w:rsidRPr="00EF6E30" w:rsidRDefault="00E40280" w:rsidP="00E40280">
            <w:pPr>
              <w:rPr>
                <w:rFonts w:ascii="Arial" w:hAnsi="Arial" w:cs="Arial"/>
                <w:sz w:val="20"/>
                <w:szCs w:val="20"/>
                <w:highlight w:val="green"/>
              </w:rPr>
            </w:pPr>
            <w:r w:rsidRPr="009E720F">
              <w:rPr>
                <w:rFonts w:ascii="Arial" w:hAnsi="Arial" w:cs="Arial"/>
                <w:sz w:val="20"/>
                <w:szCs w:val="20"/>
              </w:rPr>
              <w:t>Employment allowance (per year</w:t>
            </w:r>
            <w:r w:rsidR="00C60B68" w:rsidRPr="009E720F">
              <w:rPr>
                <w:rFonts w:ascii="Arial" w:hAnsi="Arial" w:cs="Arial"/>
                <w:sz w:val="20"/>
                <w:szCs w:val="20"/>
              </w:rPr>
              <w:t>/</w:t>
            </w:r>
            <w:r w:rsidRPr="009E720F">
              <w:rPr>
                <w:rFonts w:ascii="Arial" w:hAnsi="Arial" w:cs="Arial"/>
                <w:sz w:val="20"/>
                <w:szCs w:val="20"/>
              </w:rPr>
              <w:t>employer)</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AB55E12" w14:textId="00C4A405" w:rsidR="00E40280" w:rsidRPr="00EF6E30" w:rsidRDefault="00E40280" w:rsidP="00E40280">
            <w:pPr>
              <w:jc w:val="right"/>
              <w:rPr>
                <w:rFonts w:ascii="Arial" w:hAnsi="Arial" w:cs="Arial"/>
                <w:sz w:val="20"/>
                <w:szCs w:val="20"/>
                <w:highlight w:val="green"/>
              </w:rPr>
            </w:pPr>
            <w:r w:rsidRPr="009E720F">
              <w:rPr>
                <w:rFonts w:ascii="Arial" w:hAnsi="Arial" w:cs="Arial"/>
                <w:sz w:val="20"/>
                <w:szCs w:val="20"/>
              </w:rPr>
              <w:t>£</w:t>
            </w:r>
            <w:r w:rsidR="00EF6E30" w:rsidRPr="009E720F">
              <w:rPr>
                <w:rFonts w:ascii="Arial" w:hAnsi="Arial" w:cs="Arial"/>
                <w:sz w:val="20"/>
                <w:szCs w:val="20"/>
              </w:rPr>
              <w:t>5</w:t>
            </w:r>
            <w:r w:rsidRPr="009E720F">
              <w:rPr>
                <w:rFonts w:ascii="Arial" w:hAnsi="Arial" w:cs="Arial"/>
                <w:sz w:val="20"/>
                <w:szCs w:val="20"/>
              </w:rPr>
              <w:t>,000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AE6E33C" w14:textId="42ECF1F3" w:rsidR="00E40280" w:rsidRPr="00E40280" w:rsidRDefault="00E40280" w:rsidP="00E40280">
            <w:pPr>
              <w:jc w:val="right"/>
              <w:rPr>
                <w:rFonts w:ascii="Arial" w:hAnsi="Arial" w:cs="Arial"/>
                <w:sz w:val="20"/>
                <w:szCs w:val="20"/>
              </w:rPr>
            </w:pPr>
            <w:r w:rsidRPr="00E40280">
              <w:rPr>
                <w:rFonts w:ascii="Arial" w:hAnsi="Arial" w:cs="Arial"/>
                <w:sz w:val="20"/>
                <w:szCs w:val="20"/>
              </w:rPr>
              <w:t>£4,000</w:t>
            </w:r>
          </w:p>
        </w:tc>
      </w:tr>
      <w:tr w:rsidR="00E40280" w:rsidRPr="00FE07BA" w14:paraId="79EF932C"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5FC89F" w14:textId="615EBE1E" w:rsidR="00E40280" w:rsidRPr="00EE2CD6" w:rsidRDefault="00E40280" w:rsidP="00E40280">
            <w:pPr>
              <w:rPr>
                <w:rFonts w:ascii="Arial" w:hAnsi="Arial" w:cs="Arial"/>
                <w:sz w:val="20"/>
                <w:szCs w:val="20"/>
              </w:rPr>
            </w:pPr>
            <w:r w:rsidRPr="00EE2CD6">
              <w:rPr>
                <w:rFonts w:ascii="Arial" w:hAnsi="Arial" w:cs="Arial"/>
                <w:sz w:val="20"/>
                <w:szCs w:val="20"/>
              </w:rPr>
              <w:t>Employee’s primary class 1 rate between primary threshold and upper earnings limit</w:t>
            </w:r>
            <w:r w:rsidR="00E32182" w:rsidRPr="00EE2CD6">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A02D96" w14:textId="6623C090" w:rsidR="00E40280" w:rsidRPr="00EE2CD6" w:rsidRDefault="00E40280" w:rsidP="00E40280">
            <w:pPr>
              <w:jc w:val="right"/>
              <w:rPr>
                <w:rFonts w:ascii="Arial" w:hAnsi="Arial" w:cs="Arial"/>
                <w:sz w:val="20"/>
                <w:szCs w:val="20"/>
              </w:rPr>
            </w:pPr>
            <w:r w:rsidRPr="00EE2CD6">
              <w:rPr>
                <w:rFonts w:ascii="Arial" w:hAnsi="Arial" w:cs="Arial"/>
                <w:sz w:val="20"/>
                <w:szCs w:val="20"/>
              </w:rPr>
              <w:t>13.25%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201CBAD" w14:textId="13CBEBAB" w:rsidR="00E40280" w:rsidRPr="00E40280" w:rsidRDefault="00E40280" w:rsidP="00E40280">
            <w:pPr>
              <w:jc w:val="right"/>
              <w:rPr>
                <w:rFonts w:ascii="Arial" w:hAnsi="Arial" w:cs="Arial"/>
                <w:sz w:val="20"/>
                <w:szCs w:val="20"/>
              </w:rPr>
            </w:pPr>
            <w:r w:rsidRPr="00E40280">
              <w:rPr>
                <w:rFonts w:ascii="Arial" w:hAnsi="Arial" w:cs="Arial"/>
                <w:sz w:val="20"/>
                <w:szCs w:val="20"/>
              </w:rPr>
              <w:t>12%</w:t>
            </w:r>
          </w:p>
        </w:tc>
      </w:tr>
      <w:tr w:rsidR="00E40280" w:rsidRPr="00FE07BA" w14:paraId="1F516575"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6EDEB54" w14:textId="11AF772D" w:rsidR="00E40280" w:rsidRPr="00EE2CD6" w:rsidRDefault="00E40280" w:rsidP="00E40280">
            <w:pPr>
              <w:rPr>
                <w:rFonts w:ascii="Arial" w:hAnsi="Arial" w:cs="Arial"/>
                <w:sz w:val="20"/>
                <w:szCs w:val="20"/>
              </w:rPr>
            </w:pPr>
            <w:r w:rsidRPr="00EE2CD6">
              <w:rPr>
                <w:rFonts w:ascii="Arial" w:hAnsi="Arial" w:cs="Arial"/>
                <w:sz w:val="20"/>
                <w:szCs w:val="20"/>
              </w:rPr>
              <w:t>Employee’s primary class 1 rate above upper earnings limit</w:t>
            </w:r>
            <w:r w:rsidR="00E32182" w:rsidRPr="00EE2CD6">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069E888" w14:textId="4B4FAC5C" w:rsidR="00E40280" w:rsidRPr="00EE2CD6" w:rsidRDefault="00E40280" w:rsidP="00E40280">
            <w:pPr>
              <w:jc w:val="right"/>
              <w:rPr>
                <w:rFonts w:ascii="Arial" w:hAnsi="Arial" w:cs="Arial"/>
                <w:sz w:val="20"/>
                <w:szCs w:val="20"/>
              </w:rPr>
            </w:pPr>
            <w:r w:rsidRPr="00EE2CD6">
              <w:rPr>
                <w:rFonts w:ascii="Arial" w:hAnsi="Arial" w:cs="Arial"/>
                <w:sz w:val="20"/>
                <w:szCs w:val="20"/>
              </w:rPr>
              <w:t>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A0A7C5B" w14:textId="18FE9B16" w:rsidR="00E40280" w:rsidRPr="00E40280" w:rsidRDefault="00E40280" w:rsidP="00E40280">
            <w:pPr>
              <w:jc w:val="right"/>
              <w:rPr>
                <w:rFonts w:ascii="Arial" w:hAnsi="Arial" w:cs="Arial"/>
                <w:sz w:val="20"/>
                <w:szCs w:val="20"/>
              </w:rPr>
            </w:pPr>
            <w:r w:rsidRPr="00E40280">
              <w:rPr>
                <w:rFonts w:ascii="Arial" w:hAnsi="Arial" w:cs="Arial"/>
                <w:sz w:val="20"/>
                <w:szCs w:val="20"/>
              </w:rPr>
              <w:t>2%</w:t>
            </w:r>
          </w:p>
        </w:tc>
      </w:tr>
      <w:tr w:rsidR="00E40280" w:rsidRPr="00FE07BA" w14:paraId="608BAEF0"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0AE0E67" w14:textId="77777777" w:rsidR="00E40280" w:rsidRPr="00EE2CD6" w:rsidRDefault="00E40280" w:rsidP="00E40280">
            <w:pPr>
              <w:rPr>
                <w:rFonts w:ascii="Arial" w:hAnsi="Arial" w:cs="Arial"/>
                <w:sz w:val="20"/>
                <w:szCs w:val="20"/>
              </w:rPr>
            </w:pPr>
            <w:r w:rsidRPr="00EE2CD6">
              <w:rPr>
                <w:rFonts w:ascii="Arial" w:hAnsi="Arial" w:cs="Arial"/>
                <w:sz w:val="20"/>
                <w:szCs w:val="20"/>
              </w:rPr>
              <w:t>Married woman’s reduced rate between primary threshold and upper earnings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6B312E" w14:textId="0A92D44F" w:rsidR="00E40280" w:rsidRPr="00EE2CD6" w:rsidRDefault="00285399" w:rsidP="00E40280">
            <w:pPr>
              <w:jc w:val="right"/>
              <w:rPr>
                <w:rFonts w:ascii="Arial" w:hAnsi="Arial" w:cs="Arial"/>
                <w:sz w:val="20"/>
                <w:szCs w:val="20"/>
              </w:rPr>
            </w:pPr>
            <w:r w:rsidRPr="00EE2CD6">
              <w:rPr>
                <w:rFonts w:ascii="Arial" w:hAnsi="Arial" w:cs="Arial"/>
                <w:sz w:val="20"/>
                <w:szCs w:val="20"/>
              </w:rPr>
              <w:t>7.1%</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4A682F" w14:textId="10CB18FB" w:rsidR="00E40280" w:rsidRPr="00E40280" w:rsidRDefault="00E40280" w:rsidP="00E40280">
            <w:pPr>
              <w:jc w:val="right"/>
              <w:rPr>
                <w:rFonts w:ascii="Arial" w:hAnsi="Arial" w:cs="Arial"/>
                <w:sz w:val="20"/>
                <w:szCs w:val="20"/>
              </w:rPr>
            </w:pPr>
            <w:r w:rsidRPr="00E40280">
              <w:rPr>
                <w:rFonts w:ascii="Arial" w:hAnsi="Arial" w:cs="Arial"/>
                <w:sz w:val="20"/>
                <w:szCs w:val="20"/>
              </w:rPr>
              <w:t>5.85%</w:t>
            </w:r>
          </w:p>
        </w:tc>
      </w:tr>
      <w:tr w:rsidR="00E40280" w:rsidRPr="00FE07BA" w14:paraId="4B8AA2D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C306B0" w14:textId="77777777" w:rsidR="00E40280" w:rsidRPr="00EE2CD6" w:rsidRDefault="00E40280" w:rsidP="00E40280">
            <w:pPr>
              <w:rPr>
                <w:rFonts w:ascii="Arial" w:hAnsi="Arial" w:cs="Arial"/>
                <w:sz w:val="20"/>
                <w:szCs w:val="20"/>
              </w:rPr>
            </w:pPr>
            <w:r w:rsidRPr="00EE2CD6">
              <w:rPr>
                <w:rFonts w:ascii="Arial" w:hAnsi="Arial" w:cs="Arial"/>
                <w:sz w:val="20"/>
                <w:szCs w:val="20"/>
              </w:rPr>
              <w:t>Married woman’s rate above upper earnings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9E479D5" w14:textId="66FA1814" w:rsidR="00E40280" w:rsidRPr="00EE2CD6" w:rsidRDefault="00285399" w:rsidP="00E40280">
            <w:pPr>
              <w:jc w:val="right"/>
              <w:rPr>
                <w:rFonts w:ascii="Arial" w:hAnsi="Arial" w:cs="Arial"/>
                <w:sz w:val="20"/>
                <w:szCs w:val="20"/>
              </w:rPr>
            </w:pPr>
            <w:r w:rsidRPr="00EE2CD6">
              <w:rPr>
                <w:rFonts w:ascii="Arial" w:hAnsi="Arial" w:cs="Arial"/>
                <w:sz w:val="20"/>
                <w:szCs w:val="20"/>
              </w:rPr>
              <w:t>3.</w:t>
            </w:r>
            <w:r w:rsidR="00E40280" w:rsidRPr="00EE2CD6">
              <w:rPr>
                <w:rFonts w:ascii="Arial" w:hAnsi="Arial" w:cs="Arial"/>
                <w:sz w:val="20"/>
                <w:szCs w:val="20"/>
              </w:rPr>
              <w:t>2</w:t>
            </w:r>
            <w:r w:rsidRPr="00EE2CD6">
              <w:rPr>
                <w:rFonts w:ascii="Arial" w:hAnsi="Arial" w:cs="Arial"/>
                <w:sz w:val="20"/>
                <w:szCs w:val="20"/>
              </w:rPr>
              <w:t>5</w:t>
            </w:r>
            <w:r w:rsidR="00E40280" w:rsidRPr="00EE2CD6">
              <w:rPr>
                <w:rFonts w:ascii="Arial" w:hAnsi="Arial" w:cs="Arial"/>
                <w:sz w:val="20"/>
                <w:szCs w:val="20"/>
              </w:rPr>
              <w:t>%</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D22CFCC" w14:textId="7BB1D61E" w:rsidR="00E40280" w:rsidRPr="00E40280" w:rsidRDefault="00E40280" w:rsidP="00E40280">
            <w:pPr>
              <w:jc w:val="right"/>
              <w:rPr>
                <w:rFonts w:ascii="Arial" w:hAnsi="Arial" w:cs="Arial"/>
                <w:sz w:val="20"/>
                <w:szCs w:val="20"/>
              </w:rPr>
            </w:pPr>
            <w:r w:rsidRPr="00E40280">
              <w:rPr>
                <w:rFonts w:ascii="Arial" w:hAnsi="Arial" w:cs="Arial"/>
                <w:sz w:val="20"/>
                <w:szCs w:val="20"/>
              </w:rPr>
              <w:t>2%</w:t>
            </w:r>
          </w:p>
        </w:tc>
      </w:tr>
      <w:tr w:rsidR="00E40280" w:rsidRPr="00FE07BA" w14:paraId="0AFF974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20961B3A" w14:textId="116F97D3" w:rsidR="00C17342" w:rsidRPr="00EE2CD6" w:rsidRDefault="00E40280" w:rsidP="00E40280">
            <w:pPr>
              <w:rPr>
                <w:rFonts w:ascii="Arial" w:hAnsi="Arial" w:cs="Arial"/>
                <w:sz w:val="20"/>
                <w:szCs w:val="20"/>
              </w:rPr>
            </w:pPr>
            <w:r w:rsidRPr="00EE2CD6">
              <w:rPr>
                <w:rFonts w:ascii="Arial" w:hAnsi="Arial" w:cs="Arial"/>
                <w:sz w:val="20"/>
                <w:szCs w:val="20"/>
              </w:rPr>
              <w:lastRenderedPageBreak/>
              <w:t>Employer's secondary class 1 rate above secondary threshold</w:t>
            </w:r>
            <w:r w:rsidR="00C17342" w:rsidRPr="00EE2CD6">
              <w:rPr>
                <w:rFonts w:ascii="Arial" w:hAnsi="Arial" w:cs="Arial"/>
                <w:sz w:val="20"/>
                <w:szCs w:val="20"/>
              </w:rPr>
              <w:t xml:space="preserve"> </w:t>
            </w:r>
            <w:r w:rsidR="00C60B68" w:rsidRPr="00EE2CD6">
              <w:rPr>
                <w:rFonts w:ascii="Arial" w:hAnsi="Arial" w:cs="Arial"/>
                <w:sz w:val="20"/>
                <w:szCs w:val="20"/>
              </w:rPr>
              <w:br/>
            </w:r>
            <w:r w:rsidR="00C17342" w:rsidRPr="00EE2CD6">
              <w:rPr>
                <w:rFonts w:ascii="Arial" w:hAnsi="Arial" w:cs="Arial"/>
                <w:sz w:val="20"/>
                <w:szCs w:val="20"/>
              </w:rPr>
              <w:t>(note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99F42FB" w14:textId="7456EE7A" w:rsidR="00E40280" w:rsidRPr="00EE2CD6" w:rsidRDefault="00E40280" w:rsidP="00E40280">
            <w:pPr>
              <w:jc w:val="right"/>
              <w:rPr>
                <w:rFonts w:ascii="Arial" w:hAnsi="Arial" w:cs="Arial"/>
                <w:sz w:val="20"/>
                <w:szCs w:val="20"/>
              </w:rPr>
            </w:pPr>
            <w:r w:rsidRPr="00EE2CD6">
              <w:rPr>
                <w:rFonts w:ascii="Arial" w:hAnsi="Arial" w:cs="Arial"/>
                <w:sz w:val="20"/>
                <w:szCs w:val="20"/>
              </w:rPr>
              <w:t>15.05%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DD978E4" w14:textId="1A1080C9" w:rsidR="00E40280" w:rsidRPr="00E40280" w:rsidRDefault="00E40280" w:rsidP="00E40280">
            <w:pPr>
              <w:jc w:val="right"/>
              <w:rPr>
                <w:rFonts w:ascii="Arial" w:hAnsi="Arial" w:cs="Arial"/>
                <w:sz w:val="20"/>
                <w:szCs w:val="20"/>
              </w:rPr>
            </w:pPr>
            <w:r w:rsidRPr="00E40280">
              <w:rPr>
                <w:rFonts w:ascii="Arial" w:hAnsi="Arial" w:cs="Arial"/>
                <w:sz w:val="20"/>
                <w:szCs w:val="20"/>
              </w:rPr>
              <w:t>13.80%</w:t>
            </w:r>
          </w:p>
        </w:tc>
      </w:tr>
      <w:tr w:rsidR="00E40280" w:rsidRPr="00EF34F1" w14:paraId="08AF70BD"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A5B271C" w14:textId="77777777" w:rsidR="00E40280" w:rsidRPr="00EF34F1" w:rsidRDefault="00E40280" w:rsidP="00E40280">
            <w:pPr>
              <w:rPr>
                <w:rFonts w:ascii="Arial" w:hAnsi="Arial" w:cs="Arial"/>
                <w:sz w:val="20"/>
                <w:szCs w:val="20"/>
              </w:rPr>
            </w:pPr>
            <w:r w:rsidRPr="00EF34F1">
              <w:rPr>
                <w:rFonts w:ascii="Arial" w:hAnsi="Arial" w:cs="Arial"/>
                <w:sz w:val="20"/>
                <w:szCs w:val="20"/>
              </w:rPr>
              <w:t> </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5F80601" w14:textId="50F73049"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70B5456" w14:textId="6A212655"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FE07BA" w14:paraId="115E912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vAlign w:val="bottom"/>
          </w:tcPr>
          <w:p w14:paraId="4D84C220" w14:textId="0D48E7E0" w:rsidR="00E40280" w:rsidRPr="00B33825" w:rsidRDefault="00E40280" w:rsidP="00E40280">
            <w:pPr>
              <w:rPr>
                <w:rFonts w:ascii="Arial" w:hAnsi="Arial" w:cs="Arial"/>
                <w:sz w:val="20"/>
                <w:szCs w:val="20"/>
                <w:lang w:eastAsia="en-GB"/>
              </w:rPr>
            </w:pPr>
            <w:r w:rsidRPr="00165AFD">
              <w:rPr>
                <w:rFonts w:ascii="Arial" w:hAnsi="Arial" w:cs="Arial"/>
                <w:sz w:val="20"/>
                <w:szCs w:val="20"/>
                <w:lang w:eastAsia="en-GB"/>
              </w:rPr>
              <w:t xml:space="preserve">Class 2 rate (per week where profits are above </w:t>
            </w:r>
            <w:r w:rsidR="002575F0" w:rsidRPr="00165AFD">
              <w:rPr>
                <w:rFonts w:ascii="Arial" w:hAnsi="Arial" w:cs="Arial"/>
                <w:sz w:val="20"/>
                <w:szCs w:val="20"/>
                <w:lang w:eastAsia="en-GB"/>
              </w:rPr>
              <w:t>lower profits limit</w:t>
            </w:r>
            <w:r w:rsidR="00F5679D" w:rsidRPr="00165AFD">
              <w:rPr>
                <w:rFonts w:ascii="Arial" w:hAnsi="Arial" w:cs="Arial"/>
                <w:sz w:val="20"/>
                <w:szCs w:val="20"/>
                <w:lang w:eastAsia="en-GB"/>
              </w:rPr>
              <w:t xml:space="preserve"> threshold (</w:t>
            </w:r>
            <w:r w:rsidR="0061307B">
              <w:rPr>
                <w:rFonts w:ascii="Arial" w:hAnsi="Arial" w:cs="Arial"/>
                <w:sz w:val="20"/>
                <w:szCs w:val="20"/>
                <w:lang w:eastAsia="en-GB"/>
              </w:rPr>
              <w:t xml:space="preserve">for </w:t>
            </w:r>
            <w:r w:rsidR="00F5679D" w:rsidRPr="00165AFD">
              <w:rPr>
                <w:rFonts w:ascii="Arial" w:hAnsi="Arial" w:cs="Arial"/>
                <w:sz w:val="20"/>
                <w:szCs w:val="20"/>
                <w:lang w:eastAsia="en-GB"/>
              </w:rPr>
              <w:t>2021/22</w:t>
            </w:r>
            <w:r w:rsidR="0061307B">
              <w:rPr>
                <w:rFonts w:ascii="Arial" w:hAnsi="Arial" w:cs="Arial"/>
                <w:sz w:val="20"/>
                <w:szCs w:val="20"/>
                <w:lang w:eastAsia="en-GB"/>
              </w:rPr>
              <w:t xml:space="preserve"> above the </w:t>
            </w:r>
            <w:r w:rsidRPr="00165AFD">
              <w:rPr>
                <w:rFonts w:ascii="Arial" w:hAnsi="Arial" w:cs="Arial"/>
                <w:sz w:val="20"/>
                <w:szCs w:val="20"/>
                <w:lang w:eastAsia="en-GB"/>
              </w:rPr>
              <w:t>small profits threshold)</w:t>
            </w:r>
          </w:p>
        </w:tc>
        <w:tc>
          <w:tcPr>
            <w:tcW w:w="1842" w:type="dxa"/>
            <w:gridSpan w:val="4"/>
            <w:tcBorders>
              <w:top w:val="single" w:sz="4" w:space="0" w:color="auto"/>
              <w:left w:val="single" w:sz="4" w:space="0" w:color="auto"/>
              <w:bottom w:val="single" w:sz="4" w:space="0" w:color="auto"/>
              <w:right w:val="single" w:sz="4" w:space="0" w:color="auto"/>
            </w:tcBorders>
            <w:noWrap/>
          </w:tcPr>
          <w:p w14:paraId="791819B1" w14:textId="77777777" w:rsidR="00E40280" w:rsidRPr="00E8448E" w:rsidRDefault="00E40280" w:rsidP="00E40280">
            <w:pPr>
              <w:jc w:val="right"/>
              <w:rPr>
                <w:rFonts w:ascii="Arial" w:hAnsi="Arial" w:cs="Arial"/>
                <w:sz w:val="20"/>
                <w:szCs w:val="20"/>
              </w:rPr>
            </w:pPr>
          </w:p>
          <w:p w14:paraId="2C9E93DD" w14:textId="74F1B0BE" w:rsidR="00E40280" w:rsidRPr="00E8448E" w:rsidRDefault="00E40280" w:rsidP="00E40280">
            <w:pPr>
              <w:jc w:val="right"/>
              <w:rPr>
                <w:rFonts w:ascii="Arial" w:hAnsi="Arial" w:cs="Arial"/>
                <w:sz w:val="20"/>
                <w:szCs w:val="20"/>
              </w:rPr>
            </w:pPr>
            <w:r w:rsidRPr="00E8448E">
              <w:rPr>
                <w:rFonts w:ascii="Arial" w:hAnsi="Arial" w:cs="Arial"/>
                <w:sz w:val="20"/>
                <w:szCs w:val="20"/>
              </w:rPr>
              <w:t>£3.</w:t>
            </w:r>
            <w:r w:rsidR="00ED1AE6" w:rsidRPr="00E8448E">
              <w:rPr>
                <w:rFonts w:ascii="Arial" w:hAnsi="Arial" w:cs="Arial"/>
                <w:sz w:val="20"/>
                <w:szCs w:val="20"/>
              </w:rPr>
              <w:t>1</w:t>
            </w:r>
            <w:r w:rsidRPr="00E8448E">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tcPr>
          <w:p w14:paraId="71BD89CC" w14:textId="77777777" w:rsidR="00E40280" w:rsidRPr="0057564E" w:rsidRDefault="00E40280" w:rsidP="00E40280">
            <w:pPr>
              <w:jc w:val="right"/>
              <w:rPr>
                <w:rFonts w:ascii="Arial" w:hAnsi="Arial" w:cs="Arial"/>
                <w:sz w:val="20"/>
                <w:szCs w:val="20"/>
              </w:rPr>
            </w:pPr>
          </w:p>
          <w:p w14:paraId="5A9B42CD" w14:textId="0F5C5D02" w:rsidR="00E40280" w:rsidRPr="0057564E" w:rsidRDefault="00E40280" w:rsidP="00E40280">
            <w:pPr>
              <w:jc w:val="right"/>
              <w:rPr>
                <w:rFonts w:ascii="Arial" w:hAnsi="Arial" w:cs="Arial"/>
                <w:sz w:val="20"/>
                <w:szCs w:val="20"/>
              </w:rPr>
            </w:pPr>
            <w:r w:rsidRPr="0057564E">
              <w:rPr>
                <w:rFonts w:ascii="Arial" w:hAnsi="Arial" w:cs="Arial"/>
                <w:sz w:val="20"/>
                <w:szCs w:val="20"/>
              </w:rPr>
              <w:t>£3.05</w:t>
            </w:r>
          </w:p>
        </w:tc>
      </w:tr>
      <w:tr w:rsidR="00E40280" w:rsidRPr="00FE07BA" w14:paraId="39D57ABD"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vAlign w:val="bottom"/>
          </w:tcPr>
          <w:p w14:paraId="73F48253" w14:textId="77777777" w:rsidR="00E40280" w:rsidRPr="00B33825" w:rsidRDefault="00E40280" w:rsidP="00E40280">
            <w:pPr>
              <w:rPr>
                <w:rFonts w:ascii="Arial" w:hAnsi="Arial" w:cs="Arial"/>
                <w:sz w:val="20"/>
                <w:szCs w:val="20"/>
                <w:lang w:eastAsia="en-GB"/>
              </w:rPr>
            </w:pPr>
            <w:r w:rsidRPr="00B33825">
              <w:rPr>
                <w:rFonts w:ascii="Arial" w:hAnsi="Arial" w:cs="Arial"/>
                <w:sz w:val="20"/>
                <w:szCs w:val="20"/>
                <w:lang w:eastAsia="en-GB"/>
              </w:rPr>
              <w:t xml:space="preserve">Class 2 small profits threshold (per year) </w:t>
            </w:r>
          </w:p>
        </w:tc>
        <w:tc>
          <w:tcPr>
            <w:tcW w:w="1842" w:type="dxa"/>
            <w:gridSpan w:val="4"/>
            <w:tcBorders>
              <w:top w:val="single" w:sz="4" w:space="0" w:color="auto"/>
              <w:left w:val="single" w:sz="4" w:space="0" w:color="auto"/>
              <w:bottom w:val="single" w:sz="4" w:space="0" w:color="auto"/>
              <w:right w:val="single" w:sz="4" w:space="0" w:color="auto"/>
            </w:tcBorders>
            <w:noWrap/>
          </w:tcPr>
          <w:p w14:paraId="0638AA95" w14:textId="661BF0C7" w:rsidR="00E40280" w:rsidRPr="00E8448E" w:rsidRDefault="0061307B" w:rsidP="00E40280">
            <w:pPr>
              <w:jc w:val="right"/>
              <w:rPr>
                <w:rFonts w:ascii="Arial" w:hAnsi="Arial" w:cs="Arial"/>
                <w:sz w:val="20"/>
                <w:szCs w:val="20"/>
              </w:rPr>
            </w:pPr>
            <w:r w:rsidRPr="0061307B">
              <w:rPr>
                <w:rFonts w:ascii="Arial" w:hAnsi="Arial" w:cs="Arial"/>
                <w:sz w:val="20"/>
                <w:szCs w:val="20"/>
              </w:rPr>
              <w:t>N/A</w:t>
            </w:r>
          </w:p>
        </w:tc>
        <w:tc>
          <w:tcPr>
            <w:tcW w:w="1705" w:type="dxa"/>
            <w:gridSpan w:val="2"/>
            <w:tcBorders>
              <w:top w:val="single" w:sz="4" w:space="0" w:color="auto"/>
              <w:left w:val="single" w:sz="4" w:space="0" w:color="auto"/>
              <w:bottom w:val="single" w:sz="4" w:space="0" w:color="auto"/>
              <w:right w:val="single" w:sz="4" w:space="0" w:color="auto"/>
            </w:tcBorders>
            <w:noWrap/>
          </w:tcPr>
          <w:p w14:paraId="46F4D67E" w14:textId="03657A40" w:rsidR="00E40280" w:rsidRPr="0057564E" w:rsidRDefault="00E40280" w:rsidP="00E40280">
            <w:pPr>
              <w:jc w:val="right"/>
              <w:rPr>
                <w:rFonts w:ascii="Arial" w:hAnsi="Arial" w:cs="Arial"/>
                <w:sz w:val="20"/>
                <w:szCs w:val="20"/>
              </w:rPr>
            </w:pPr>
            <w:r w:rsidRPr="0057564E">
              <w:rPr>
                <w:rFonts w:ascii="Arial" w:hAnsi="Arial" w:cs="Arial"/>
                <w:sz w:val="20"/>
                <w:szCs w:val="20"/>
              </w:rPr>
              <w:t>£6,515</w:t>
            </w:r>
          </w:p>
        </w:tc>
      </w:tr>
      <w:tr w:rsidR="00E40280" w:rsidRPr="00EF34F1" w14:paraId="59176168"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DD26BC4"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Special </w:t>
            </w:r>
            <w:r>
              <w:rPr>
                <w:rFonts w:ascii="Arial" w:hAnsi="Arial" w:cs="Arial"/>
                <w:sz w:val="20"/>
                <w:szCs w:val="20"/>
              </w:rPr>
              <w:t>c</w:t>
            </w:r>
            <w:r w:rsidRPr="00EF34F1">
              <w:rPr>
                <w:rFonts w:ascii="Arial" w:hAnsi="Arial" w:cs="Arial"/>
                <w:sz w:val="20"/>
                <w:szCs w:val="20"/>
              </w:rPr>
              <w:t>lass 2 rate for share fishermen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C7D2681" w14:textId="0E9D8CEA" w:rsidR="00E40280" w:rsidRPr="00E8448E" w:rsidRDefault="00E40280" w:rsidP="00E40280">
            <w:pPr>
              <w:jc w:val="right"/>
              <w:rPr>
                <w:rFonts w:ascii="Arial" w:hAnsi="Arial" w:cs="Arial"/>
                <w:sz w:val="20"/>
                <w:szCs w:val="20"/>
              </w:rPr>
            </w:pPr>
            <w:r w:rsidRPr="00E8448E">
              <w:rPr>
                <w:rFonts w:ascii="Arial" w:hAnsi="Arial" w:cs="Arial"/>
                <w:sz w:val="20"/>
                <w:szCs w:val="20"/>
              </w:rPr>
              <w:t>£3.</w:t>
            </w:r>
            <w:r w:rsidR="00E8448E" w:rsidRPr="00E8448E">
              <w:rPr>
                <w:rFonts w:ascii="Arial" w:hAnsi="Arial" w:cs="Arial"/>
                <w:sz w:val="20"/>
                <w:szCs w:val="20"/>
              </w:rPr>
              <w:t>8</w:t>
            </w:r>
            <w:r w:rsidRPr="00E8448E">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3AF6B6" w14:textId="5EE50741" w:rsidR="00E40280" w:rsidRPr="0057564E" w:rsidRDefault="00E40280" w:rsidP="00E40280">
            <w:pPr>
              <w:jc w:val="right"/>
              <w:rPr>
                <w:rFonts w:ascii="Arial" w:hAnsi="Arial" w:cs="Arial"/>
                <w:b/>
                <w:sz w:val="20"/>
                <w:szCs w:val="20"/>
              </w:rPr>
            </w:pPr>
            <w:r w:rsidRPr="0057564E">
              <w:rPr>
                <w:rFonts w:ascii="Arial" w:hAnsi="Arial" w:cs="Arial"/>
                <w:sz w:val="20"/>
                <w:szCs w:val="20"/>
              </w:rPr>
              <w:t>£3.70</w:t>
            </w:r>
          </w:p>
        </w:tc>
      </w:tr>
      <w:tr w:rsidR="00E40280" w:rsidRPr="00EF34F1" w14:paraId="23EF2F22"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100C2F2"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Special </w:t>
            </w:r>
            <w:r>
              <w:rPr>
                <w:rFonts w:ascii="Arial" w:hAnsi="Arial" w:cs="Arial"/>
                <w:sz w:val="20"/>
                <w:szCs w:val="20"/>
              </w:rPr>
              <w:t>c</w:t>
            </w:r>
            <w:r w:rsidRPr="00EF34F1">
              <w:rPr>
                <w:rFonts w:ascii="Arial" w:hAnsi="Arial" w:cs="Arial"/>
                <w:sz w:val="20"/>
                <w:szCs w:val="20"/>
              </w:rPr>
              <w:t>lass 2 rate for volunteer development workers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543BAE5" w14:textId="5B4F6EAF" w:rsidR="00E40280" w:rsidRPr="00E8448E" w:rsidRDefault="00E40280" w:rsidP="00E40280">
            <w:pPr>
              <w:jc w:val="right"/>
              <w:rPr>
                <w:rFonts w:ascii="Arial" w:hAnsi="Arial" w:cs="Arial"/>
                <w:sz w:val="20"/>
                <w:szCs w:val="20"/>
              </w:rPr>
            </w:pPr>
            <w:r w:rsidRPr="00E8448E">
              <w:rPr>
                <w:rFonts w:ascii="Arial" w:hAnsi="Arial" w:cs="Arial"/>
                <w:sz w:val="20"/>
                <w:szCs w:val="20"/>
              </w:rPr>
              <w:t>£6.</w:t>
            </w:r>
            <w:r w:rsidR="00E8448E" w:rsidRPr="00E8448E">
              <w:rPr>
                <w:rFonts w:ascii="Arial" w:hAnsi="Arial" w:cs="Arial"/>
                <w:sz w:val="20"/>
                <w:szCs w:val="20"/>
              </w:rPr>
              <w:t>15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65BC21" w14:textId="21E7DDB5" w:rsidR="00E40280" w:rsidRPr="0057564E" w:rsidRDefault="00E40280" w:rsidP="00E40280">
            <w:pPr>
              <w:jc w:val="right"/>
              <w:rPr>
                <w:rFonts w:ascii="Arial" w:hAnsi="Arial" w:cs="Arial"/>
                <w:b/>
                <w:sz w:val="20"/>
                <w:szCs w:val="20"/>
              </w:rPr>
            </w:pPr>
            <w:r w:rsidRPr="0057564E">
              <w:rPr>
                <w:rFonts w:ascii="Arial" w:hAnsi="Arial" w:cs="Arial"/>
                <w:sz w:val="20"/>
                <w:szCs w:val="20"/>
              </w:rPr>
              <w:t>£6.00</w:t>
            </w:r>
          </w:p>
        </w:tc>
      </w:tr>
      <w:tr w:rsidR="00E40280" w:rsidRPr="00EF34F1" w14:paraId="7B02B29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29EFE978" w14:textId="77777777" w:rsidR="00E40280" w:rsidRPr="00903221" w:rsidRDefault="00E40280" w:rsidP="00E40280">
            <w:pPr>
              <w:rPr>
                <w:rFonts w:ascii="Arial" w:hAnsi="Arial" w:cs="Arial"/>
                <w:sz w:val="20"/>
                <w:szCs w:val="20"/>
              </w:rPr>
            </w:pPr>
            <w:r w:rsidRPr="00903221">
              <w:rPr>
                <w:rFonts w:ascii="Arial" w:hAnsi="Arial" w:cs="Arial"/>
                <w:sz w:val="20"/>
                <w:szCs w:val="20"/>
              </w:rPr>
              <w:t>Class 3 voluntary rate (per week)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3DC6A52" w14:textId="1E69B9CE" w:rsidR="00E40280" w:rsidRPr="00E8448E" w:rsidRDefault="00E40280" w:rsidP="00E40280">
            <w:pPr>
              <w:jc w:val="right"/>
              <w:rPr>
                <w:rFonts w:ascii="Arial" w:hAnsi="Arial" w:cs="Arial"/>
                <w:sz w:val="20"/>
                <w:szCs w:val="20"/>
              </w:rPr>
            </w:pPr>
            <w:r w:rsidRPr="00E8448E">
              <w:rPr>
                <w:rFonts w:ascii="Arial" w:hAnsi="Arial" w:cs="Arial"/>
                <w:sz w:val="20"/>
                <w:szCs w:val="20"/>
              </w:rPr>
              <w:t>£15.</w:t>
            </w:r>
            <w:r w:rsidR="00B47417">
              <w:rPr>
                <w:rFonts w:ascii="Arial" w:hAnsi="Arial" w:cs="Arial"/>
                <w:sz w:val="20"/>
                <w:szCs w:val="20"/>
              </w:rPr>
              <w:t>85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9E7C1CD" w14:textId="123D134C" w:rsidR="00E40280" w:rsidRPr="0057564E" w:rsidRDefault="00E40280" w:rsidP="00E40280">
            <w:pPr>
              <w:jc w:val="right"/>
              <w:rPr>
                <w:rFonts w:ascii="Arial" w:hAnsi="Arial" w:cs="Arial"/>
                <w:sz w:val="20"/>
                <w:szCs w:val="20"/>
              </w:rPr>
            </w:pPr>
            <w:r w:rsidRPr="0057564E">
              <w:rPr>
                <w:rFonts w:ascii="Arial" w:hAnsi="Arial" w:cs="Arial"/>
                <w:sz w:val="20"/>
                <w:szCs w:val="20"/>
              </w:rPr>
              <w:t>£15.40</w:t>
            </w:r>
          </w:p>
        </w:tc>
      </w:tr>
      <w:tr w:rsidR="00E40280" w:rsidRPr="00EF34F1" w14:paraId="3440770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FBE9294" w14:textId="27886331" w:rsidR="00E40280" w:rsidRPr="0061307B" w:rsidRDefault="00E40280" w:rsidP="00E40280">
            <w:pPr>
              <w:rPr>
                <w:rFonts w:ascii="Arial" w:hAnsi="Arial" w:cs="Arial"/>
                <w:sz w:val="20"/>
                <w:szCs w:val="20"/>
              </w:rPr>
            </w:pPr>
            <w:r w:rsidRPr="0061307B">
              <w:rPr>
                <w:rFonts w:ascii="Arial" w:hAnsi="Arial" w:cs="Arial"/>
                <w:sz w:val="20"/>
                <w:szCs w:val="20"/>
              </w:rPr>
              <w:t>Class 4 lower profits limit</w:t>
            </w:r>
            <w:r w:rsidR="00616F9F">
              <w:rPr>
                <w:rFonts w:ascii="Arial" w:hAnsi="Arial" w:cs="Arial"/>
                <w:sz w:val="20"/>
                <w:szCs w:val="20"/>
              </w:rPr>
              <w:t xml:space="preserve"> </w:t>
            </w:r>
            <w:r w:rsidR="00616F9F" w:rsidRPr="00616F9F">
              <w:rPr>
                <w:rFonts w:ascii="Arial" w:hAnsi="Arial" w:cs="Arial"/>
                <w:b/>
                <w:bCs/>
                <w:sz w:val="20"/>
                <w:szCs w:val="20"/>
              </w:rPr>
              <w:t>(note 9)</w:t>
            </w:r>
          </w:p>
          <w:p w14:paraId="318ADC0C" w14:textId="1AB0ED8B" w:rsidR="00E243B2" w:rsidRPr="00E243B2" w:rsidRDefault="00E243B2" w:rsidP="00E243B2">
            <w:pPr>
              <w:jc w:val="right"/>
              <w:rPr>
                <w:rFonts w:ascii="Arial" w:hAnsi="Arial" w:cs="Arial"/>
                <w:sz w:val="20"/>
                <w:szCs w:val="20"/>
              </w:rPr>
            </w:pP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7287607" w14:textId="644CF683" w:rsidR="00E243B2" w:rsidRPr="00A01088" w:rsidRDefault="00E40280" w:rsidP="00C07846">
            <w:pPr>
              <w:jc w:val="right"/>
              <w:rPr>
                <w:rFonts w:ascii="Arial" w:hAnsi="Arial" w:cs="Arial"/>
                <w:sz w:val="20"/>
                <w:szCs w:val="20"/>
                <w:highlight w:val="green"/>
              </w:rPr>
            </w:pPr>
            <w:r w:rsidRPr="0061307B">
              <w:rPr>
                <w:rFonts w:ascii="Arial" w:hAnsi="Arial" w:cs="Arial"/>
                <w:sz w:val="20"/>
                <w:szCs w:val="20"/>
              </w:rPr>
              <w:t>£</w:t>
            </w:r>
            <w:r w:rsidR="00C50CCE" w:rsidRPr="0061307B">
              <w:rPr>
                <w:rFonts w:ascii="Arial" w:hAnsi="Arial" w:cs="Arial"/>
                <w:sz w:val="20"/>
                <w:szCs w:val="20"/>
              </w:rPr>
              <w:t>11,908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644B0D4" w14:textId="1EFE4398" w:rsidR="00E40280" w:rsidRPr="0057564E" w:rsidRDefault="00E40280" w:rsidP="00E40280">
            <w:pPr>
              <w:jc w:val="right"/>
              <w:rPr>
                <w:rFonts w:ascii="Arial" w:hAnsi="Arial" w:cs="Arial"/>
                <w:sz w:val="20"/>
                <w:szCs w:val="20"/>
              </w:rPr>
            </w:pPr>
            <w:r w:rsidRPr="0057564E">
              <w:rPr>
                <w:rFonts w:ascii="Arial" w:hAnsi="Arial" w:cs="Arial"/>
                <w:sz w:val="20"/>
                <w:szCs w:val="20"/>
              </w:rPr>
              <w:t>£9,568</w:t>
            </w:r>
          </w:p>
        </w:tc>
      </w:tr>
      <w:tr w:rsidR="00E40280" w:rsidRPr="00EF34F1" w14:paraId="5797852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2823225C" w14:textId="77777777" w:rsidR="00E40280" w:rsidRPr="00506D8F" w:rsidRDefault="00E40280" w:rsidP="00E40280">
            <w:pPr>
              <w:rPr>
                <w:rFonts w:ascii="Arial" w:hAnsi="Arial" w:cs="Arial"/>
                <w:sz w:val="20"/>
                <w:szCs w:val="20"/>
              </w:rPr>
            </w:pPr>
            <w:r w:rsidRPr="00506D8F">
              <w:rPr>
                <w:rFonts w:ascii="Arial" w:hAnsi="Arial" w:cs="Arial"/>
                <w:sz w:val="20"/>
                <w:szCs w:val="20"/>
              </w:rPr>
              <w:t>Class 4 upper profits limit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6E9DC97" w14:textId="77777777" w:rsidR="00E40280" w:rsidRPr="00E8448E" w:rsidRDefault="00E40280" w:rsidP="00E40280">
            <w:pPr>
              <w:jc w:val="right"/>
              <w:rPr>
                <w:rFonts w:ascii="Arial" w:hAnsi="Arial" w:cs="Arial"/>
                <w:sz w:val="20"/>
                <w:szCs w:val="20"/>
              </w:rPr>
            </w:pPr>
            <w:r w:rsidRPr="00E8448E">
              <w:rPr>
                <w:rFonts w:ascii="Arial" w:hAnsi="Arial" w:cs="Arial"/>
                <w:sz w:val="20"/>
                <w:szCs w:val="20"/>
              </w:rPr>
              <w:t>£50,270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4C07D66" w14:textId="47401451" w:rsidR="00E40280" w:rsidRPr="0057564E" w:rsidRDefault="00E40280" w:rsidP="00E40280">
            <w:pPr>
              <w:jc w:val="right"/>
              <w:rPr>
                <w:rFonts w:ascii="Arial" w:hAnsi="Arial" w:cs="Arial"/>
                <w:sz w:val="20"/>
                <w:szCs w:val="20"/>
              </w:rPr>
            </w:pPr>
            <w:r w:rsidRPr="0057564E">
              <w:rPr>
                <w:rFonts w:ascii="Arial" w:hAnsi="Arial" w:cs="Arial"/>
                <w:sz w:val="20"/>
                <w:szCs w:val="20"/>
              </w:rPr>
              <w:t>£50,270</w:t>
            </w:r>
          </w:p>
        </w:tc>
      </w:tr>
      <w:tr w:rsidR="00E40280" w:rsidRPr="00EF34F1" w14:paraId="2EEDD05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DBED80" w14:textId="28FA17E0" w:rsidR="00E40280" w:rsidRPr="00875631" w:rsidRDefault="00E40280" w:rsidP="00E40280">
            <w:pPr>
              <w:rPr>
                <w:rFonts w:ascii="Arial" w:hAnsi="Arial" w:cs="Arial"/>
                <w:sz w:val="20"/>
                <w:szCs w:val="20"/>
              </w:rPr>
            </w:pPr>
            <w:r w:rsidRPr="00875631">
              <w:rPr>
                <w:rFonts w:ascii="Arial" w:hAnsi="Arial" w:cs="Arial"/>
                <w:sz w:val="20"/>
                <w:szCs w:val="20"/>
              </w:rPr>
              <w:t xml:space="preserve">Class 4 rate between lower profits limit and upper profits limit </w:t>
            </w:r>
            <w:r w:rsidR="00B81125">
              <w:rPr>
                <w:rFonts w:ascii="Arial" w:hAnsi="Arial" w:cs="Arial"/>
                <w:sz w:val="20"/>
                <w:szCs w:val="20"/>
              </w:rPr>
              <w:t>(note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2333A85" w14:textId="1B027D40" w:rsidR="00E40280" w:rsidRPr="00F81E13" w:rsidRDefault="00E40280" w:rsidP="00E40280">
            <w:pPr>
              <w:jc w:val="right"/>
              <w:rPr>
                <w:rFonts w:ascii="Arial" w:hAnsi="Arial" w:cs="Arial"/>
                <w:sz w:val="20"/>
                <w:szCs w:val="20"/>
              </w:rPr>
            </w:pPr>
            <w:r w:rsidRPr="00F81E13">
              <w:rPr>
                <w:rFonts w:ascii="Arial" w:hAnsi="Arial" w:cs="Arial"/>
                <w:sz w:val="20"/>
                <w:szCs w:val="20"/>
              </w:rPr>
              <w:t>10.25%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58ACE6" w14:textId="5409282B" w:rsidR="00E40280" w:rsidRPr="0057564E" w:rsidRDefault="00E40280" w:rsidP="00E40280">
            <w:pPr>
              <w:jc w:val="right"/>
              <w:rPr>
                <w:rFonts w:ascii="Arial" w:hAnsi="Arial" w:cs="Arial"/>
                <w:sz w:val="20"/>
                <w:szCs w:val="20"/>
              </w:rPr>
            </w:pPr>
            <w:r w:rsidRPr="0057564E">
              <w:rPr>
                <w:rFonts w:ascii="Arial" w:hAnsi="Arial" w:cs="Arial"/>
                <w:sz w:val="20"/>
                <w:szCs w:val="20"/>
              </w:rPr>
              <w:t>9.00%</w:t>
            </w:r>
          </w:p>
        </w:tc>
      </w:tr>
      <w:tr w:rsidR="00E40280" w:rsidRPr="00EF34F1" w14:paraId="77BD708B"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745D8851" w14:textId="20E85D25" w:rsidR="00E40280" w:rsidRPr="00875631" w:rsidRDefault="00E40280" w:rsidP="00E40280">
            <w:pPr>
              <w:rPr>
                <w:rFonts w:ascii="Arial" w:hAnsi="Arial" w:cs="Arial"/>
                <w:sz w:val="20"/>
                <w:szCs w:val="20"/>
              </w:rPr>
            </w:pPr>
            <w:r w:rsidRPr="00875631">
              <w:rPr>
                <w:rFonts w:ascii="Arial" w:hAnsi="Arial" w:cs="Arial"/>
                <w:sz w:val="20"/>
                <w:szCs w:val="20"/>
              </w:rPr>
              <w:t>Class 4 rate above upper profits limit</w:t>
            </w:r>
            <w:r w:rsidR="00B81125">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34383E9" w14:textId="097B9977" w:rsidR="00E40280" w:rsidRPr="00F81E13" w:rsidRDefault="00E40280" w:rsidP="00E40280">
            <w:pPr>
              <w:jc w:val="right"/>
              <w:rPr>
                <w:rFonts w:ascii="Arial" w:hAnsi="Arial" w:cs="Arial"/>
                <w:sz w:val="20"/>
                <w:szCs w:val="20"/>
              </w:rPr>
            </w:pPr>
            <w:r w:rsidRPr="00F81E13">
              <w:rPr>
                <w:rFonts w:ascii="Arial" w:hAnsi="Arial" w:cs="Arial"/>
                <w:sz w:val="20"/>
                <w:szCs w:val="20"/>
              </w:rPr>
              <w:t>3.25%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0285E7C" w14:textId="65AA6286" w:rsidR="00E40280" w:rsidRPr="0057564E" w:rsidRDefault="00E40280" w:rsidP="00E40280">
            <w:pPr>
              <w:jc w:val="right"/>
              <w:rPr>
                <w:rFonts w:ascii="Arial" w:hAnsi="Arial" w:cs="Arial"/>
                <w:sz w:val="20"/>
                <w:szCs w:val="20"/>
              </w:rPr>
            </w:pPr>
            <w:r w:rsidRPr="0057564E">
              <w:rPr>
                <w:rFonts w:ascii="Arial" w:hAnsi="Arial" w:cs="Arial"/>
                <w:sz w:val="20"/>
                <w:szCs w:val="20"/>
              </w:rPr>
              <w:t>2.00%</w:t>
            </w:r>
          </w:p>
        </w:tc>
      </w:tr>
      <w:tr w:rsidR="00E40280" w:rsidRPr="00EF34F1" w14:paraId="13CC9815"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638D0C5D" w14:textId="23EE9E1F" w:rsidR="00E40280" w:rsidRPr="00A01088" w:rsidRDefault="00E40280" w:rsidP="00E40280">
            <w:pPr>
              <w:rPr>
                <w:rFonts w:ascii="Arial" w:hAnsi="Arial" w:cs="Arial"/>
                <w:sz w:val="20"/>
                <w:szCs w:val="20"/>
              </w:rPr>
            </w:pPr>
            <w:r w:rsidRPr="00A01088">
              <w:rPr>
                <w:rFonts w:ascii="Arial" w:hAnsi="Arial" w:cs="Arial"/>
                <w:sz w:val="20"/>
                <w:szCs w:val="20"/>
              </w:rPr>
              <w:t>Class 1A</w:t>
            </w:r>
            <w:r w:rsidR="00EA2944" w:rsidRPr="00A01088">
              <w:rPr>
                <w:rFonts w:ascii="Arial" w:hAnsi="Arial" w:cs="Arial"/>
                <w:sz w:val="20"/>
                <w:szCs w:val="20"/>
              </w:rPr>
              <w:t>/</w:t>
            </w:r>
            <w:r w:rsidR="0046553B" w:rsidRPr="00A01088">
              <w:rPr>
                <w:rFonts w:ascii="Arial" w:hAnsi="Arial" w:cs="Arial"/>
                <w:sz w:val="20"/>
                <w:szCs w:val="20"/>
              </w:rPr>
              <w:t>1B</w:t>
            </w:r>
            <w:r w:rsidRPr="00A01088">
              <w:rPr>
                <w:rFonts w:ascii="Arial" w:hAnsi="Arial" w:cs="Arial"/>
                <w:sz w:val="20"/>
                <w:szCs w:val="20"/>
              </w:rPr>
              <w:t xml:space="preserve"> NIC</w:t>
            </w:r>
            <w:r w:rsidR="00B81125" w:rsidRPr="00A01088">
              <w:rPr>
                <w:rFonts w:ascii="Arial" w:hAnsi="Arial" w:cs="Arial"/>
                <w:sz w:val="20"/>
                <w:szCs w:val="20"/>
              </w:rPr>
              <w:t xml:space="preserve"> (note 9)</w:t>
            </w:r>
          </w:p>
        </w:tc>
        <w:tc>
          <w:tcPr>
            <w:tcW w:w="1842" w:type="dxa"/>
            <w:gridSpan w:val="4"/>
            <w:tcBorders>
              <w:top w:val="single" w:sz="4" w:space="0" w:color="auto"/>
              <w:left w:val="single" w:sz="4" w:space="0" w:color="auto"/>
              <w:bottom w:val="single" w:sz="4" w:space="0" w:color="auto"/>
              <w:right w:val="single" w:sz="4" w:space="0" w:color="auto"/>
            </w:tcBorders>
            <w:noWrap/>
          </w:tcPr>
          <w:p w14:paraId="35202699" w14:textId="37DF2CBC" w:rsidR="00E40280" w:rsidRPr="007E7C16" w:rsidRDefault="00E40280" w:rsidP="00E40280">
            <w:pPr>
              <w:jc w:val="right"/>
              <w:rPr>
                <w:rFonts w:ascii="Arial" w:hAnsi="Arial" w:cs="Arial"/>
                <w:sz w:val="20"/>
                <w:szCs w:val="20"/>
                <w:highlight w:val="yellow"/>
              </w:rPr>
            </w:pPr>
            <w:r w:rsidRPr="00C50CCE">
              <w:rPr>
                <w:rFonts w:ascii="Arial" w:hAnsi="Arial" w:cs="Arial"/>
                <w:sz w:val="20"/>
                <w:szCs w:val="20"/>
              </w:rPr>
              <w:t>15.05%</w:t>
            </w:r>
          </w:p>
        </w:tc>
        <w:tc>
          <w:tcPr>
            <w:tcW w:w="1705" w:type="dxa"/>
            <w:gridSpan w:val="2"/>
            <w:tcBorders>
              <w:top w:val="single" w:sz="4" w:space="0" w:color="auto"/>
              <w:left w:val="single" w:sz="4" w:space="0" w:color="auto"/>
              <w:bottom w:val="single" w:sz="4" w:space="0" w:color="auto"/>
              <w:right w:val="single" w:sz="4" w:space="0" w:color="auto"/>
            </w:tcBorders>
            <w:noWrap/>
          </w:tcPr>
          <w:p w14:paraId="2D759B1E" w14:textId="2C6B5264" w:rsidR="00E40280" w:rsidRPr="0057564E" w:rsidRDefault="00E40280" w:rsidP="00E40280">
            <w:pPr>
              <w:jc w:val="right"/>
              <w:rPr>
                <w:rFonts w:ascii="Arial" w:hAnsi="Arial" w:cs="Arial"/>
                <w:sz w:val="20"/>
                <w:szCs w:val="20"/>
              </w:rPr>
            </w:pPr>
            <w:r w:rsidRPr="0057564E">
              <w:rPr>
                <w:rFonts w:ascii="Arial" w:hAnsi="Arial" w:cs="Arial"/>
                <w:sz w:val="20"/>
                <w:szCs w:val="20"/>
              </w:rPr>
              <w:t>13.8%</w:t>
            </w:r>
          </w:p>
        </w:tc>
      </w:tr>
      <w:tr w:rsidR="00E40280" w:rsidRPr="00EF34F1" w14:paraId="200F0DBD"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75ECE35F" w14:textId="77777777" w:rsidR="00E40280" w:rsidRPr="00A01088" w:rsidRDefault="00E40280" w:rsidP="00C213B1">
            <w:pPr>
              <w:rPr>
                <w:rFonts w:ascii="Arial" w:hAnsi="Arial" w:cs="Arial"/>
                <w:i/>
                <w:iCs/>
                <w:sz w:val="18"/>
                <w:szCs w:val="18"/>
              </w:rPr>
            </w:pPr>
            <w:r w:rsidRPr="00A01088">
              <w:rPr>
                <w:rFonts w:ascii="Arial" w:hAnsi="Arial" w:cs="Arial"/>
                <w:i/>
                <w:iCs/>
                <w:sz w:val="18"/>
                <w:szCs w:val="18"/>
              </w:rPr>
              <w:t xml:space="preserve">Note 9: </w:t>
            </w:r>
            <w:r w:rsidR="00EA2944" w:rsidRPr="00A01088">
              <w:rPr>
                <w:rFonts w:ascii="Arial" w:hAnsi="Arial" w:cs="Arial"/>
                <w:i/>
                <w:iCs/>
                <w:sz w:val="18"/>
                <w:szCs w:val="18"/>
              </w:rPr>
              <w:t>f</w:t>
            </w:r>
            <w:r w:rsidRPr="00A01088">
              <w:rPr>
                <w:rFonts w:ascii="Arial" w:hAnsi="Arial" w:cs="Arial"/>
                <w:i/>
                <w:iCs/>
                <w:sz w:val="18"/>
                <w:szCs w:val="18"/>
              </w:rPr>
              <w:t>rom 6 April 2022</w:t>
            </w:r>
            <w:r w:rsidR="00EA2944" w:rsidRPr="00A01088">
              <w:rPr>
                <w:rFonts w:ascii="Arial" w:hAnsi="Arial" w:cs="Arial"/>
                <w:i/>
                <w:iCs/>
                <w:sz w:val="18"/>
                <w:szCs w:val="18"/>
              </w:rPr>
              <w:t>,</w:t>
            </w:r>
            <w:r w:rsidRPr="00A01088">
              <w:rPr>
                <w:rFonts w:ascii="Arial" w:hAnsi="Arial" w:cs="Arial"/>
                <w:i/>
                <w:iCs/>
                <w:sz w:val="18"/>
                <w:szCs w:val="18"/>
              </w:rPr>
              <w:t xml:space="preserve"> main and additional rates of </w:t>
            </w:r>
            <w:r w:rsidR="00EA2944" w:rsidRPr="00A01088">
              <w:rPr>
                <w:rFonts w:ascii="Arial" w:hAnsi="Arial" w:cs="Arial"/>
                <w:i/>
                <w:iCs/>
                <w:sz w:val="18"/>
                <w:szCs w:val="18"/>
              </w:rPr>
              <w:t>n</w:t>
            </w:r>
            <w:r w:rsidRPr="00A01088">
              <w:rPr>
                <w:rFonts w:ascii="Arial" w:hAnsi="Arial" w:cs="Arial"/>
                <w:i/>
                <w:iCs/>
                <w:sz w:val="18"/>
                <w:szCs w:val="18"/>
              </w:rPr>
              <w:t xml:space="preserve">ational </w:t>
            </w:r>
            <w:r w:rsidR="00EA2944" w:rsidRPr="00A01088">
              <w:rPr>
                <w:rFonts w:ascii="Arial" w:hAnsi="Arial" w:cs="Arial"/>
                <w:i/>
                <w:iCs/>
                <w:sz w:val="18"/>
                <w:szCs w:val="18"/>
              </w:rPr>
              <w:t>i</w:t>
            </w:r>
            <w:r w:rsidRPr="00A01088">
              <w:rPr>
                <w:rFonts w:ascii="Arial" w:hAnsi="Arial" w:cs="Arial"/>
                <w:i/>
                <w:iCs/>
                <w:sz w:val="18"/>
                <w:szCs w:val="18"/>
              </w:rPr>
              <w:t>nsurance contributions will increase by 1.25% and will last for the 2022</w:t>
            </w:r>
            <w:r w:rsidR="00EA2944" w:rsidRPr="00A01088">
              <w:rPr>
                <w:rFonts w:ascii="Arial" w:hAnsi="Arial" w:cs="Arial"/>
                <w:i/>
                <w:iCs/>
                <w:sz w:val="18"/>
                <w:szCs w:val="18"/>
              </w:rPr>
              <w:t>/</w:t>
            </w:r>
            <w:r w:rsidRPr="00A01088">
              <w:rPr>
                <w:rFonts w:ascii="Arial" w:hAnsi="Arial" w:cs="Arial"/>
                <w:i/>
                <w:iCs/>
                <w:sz w:val="18"/>
                <w:szCs w:val="18"/>
              </w:rPr>
              <w:t>23 tax year only. The new Health and Social Care Levy will take effect from 6 April 2023.</w:t>
            </w:r>
          </w:p>
          <w:p w14:paraId="44E9476D" w14:textId="77777777" w:rsidR="00C74D6C" w:rsidRDefault="00DA0B67" w:rsidP="00C213B1">
            <w:pPr>
              <w:rPr>
                <w:rFonts w:ascii="Arial" w:hAnsi="Arial" w:cs="Arial"/>
                <w:i/>
                <w:iCs/>
                <w:sz w:val="18"/>
                <w:szCs w:val="18"/>
              </w:rPr>
            </w:pPr>
            <w:r w:rsidRPr="009B0D39">
              <w:rPr>
                <w:rFonts w:ascii="Arial" w:hAnsi="Arial" w:cs="Arial"/>
                <w:i/>
                <w:iCs/>
                <w:sz w:val="18"/>
                <w:szCs w:val="18"/>
              </w:rPr>
              <w:t>From 6 July 2022, primary thresholds for NI are aligned with income tax personal allowance.</w:t>
            </w:r>
          </w:p>
          <w:p w14:paraId="5E7094F3" w14:textId="2B9790C4" w:rsidR="00DD20C0" w:rsidRPr="00AA0198" w:rsidRDefault="00DD20C0" w:rsidP="00DD20C0">
            <w:pPr>
              <w:rPr>
                <w:rFonts w:ascii="Arial" w:hAnsi="Arial" w:cs="Arial"/>
                <w:b/>
                <w:bCs/>
                <w:i/>
                <w:iCs/>
                <w:sz w:val="18"/>
                <w:szCs w:val="18"/>
              </w:rPr>
            </w:pPr>
            <w:r w:rsidRPr="00AA0198">
              <w:rPr>
                <w:rFonts w:ascii="Arial" w:hAnsi="Arial" w:cs="Arial"/>
                <w:b/>
                <w:bCs/>
                <w:i/>
                <w:iCs/>
                <w:sz w:val="18"/>
                <w:szCs w:val="18"/>
              </w:rPr>
              <w:t xml:space="preserve">The self-employed pay NICs on an annual basis, and at the end of the tax year. The annual figure for the self-employed is £11,908 </w:t>
            </w:r>
            <w:r w:rsidR="00AA0198">
              <w:rPr>
                <w:rFonts w:ascii="Arial" w:hAnsi="Arial" w:cs="Arial"/>
                <w:b/>
                <w:bCs/>
                <w:i/>
                <w:iCs/>
                <w:sz w:val="18"/>
                <w:szCs w:val="18"/>
              </w:rPr>
              <w:t xml:space="preserve">reflecting </w:t>
            </w:r>
            <w:r w:rsidRPr="00AA0198">
              <w:rPr>
                <w:rFonts w:ascii="Arial" w:hAnsi="Arial" w:cs="Arial"/>
                <w:b/>
                <w:bCs/>
                <w:i/>
                <w:iCs/>
                <w:sz w:val="18"/>
                <w:szCs w:val="18"/>
              </w:rPr>
              <w:t xml:space="preserve">13 weeks </w:t>
            </w:r>
            <w:r w:rsidR="00616F9F">
              <w:rPr>
                <w:rFonts w:ascii="Arial" w:hAnsi="Arial" w:cs="Arial"/>
                <w:b/>
                <w:bCs/>
                <w:i/>
                <w:iCs/>
                <w:sz w:val="18"/>
                <w:szCs w:val="18"/>
              </w:rPr>
              <w:t>at</w:t>
            </w:r>
            <w:r w:rsidRPr="00AA0198">
              <w:rPr>
                <w:rFonts w:ascii="Arial" w:hAnsi="Arial" w:cs="Arial"/>
                <w:b/>
                <w:bCs/>
                <w:i/>
                <w:iCs/>
                <w:sz w:val="18"/>
                <w:szCs w:val="18"/>
              </w:rPr>
              <w:t xml:space="preserve"> £9,880 and 39 weeks </w:t>
            </w:r>
            <w:r w:rsidR="00616F9F">
              <w:rPr>
                <w:rFonts w:ascii="Arial" w:hAnsi="Arial" w:cs="Arial"/>
                <w:b/>
                <w:bCs/>
                <w:i/>
                <w:iCs/>
                <w:sz w:val="18"/>
                <w:szCs w:val="18"/>
              </w:rPr>
              <w:t>at</w:t>
            </w:r>
            <w:r w:rsidRPr="00AA0198">
              <w:rPr>
                <w:rFonts w:ascii="Arial" w:hAnsi="Arial" w:cs="Arial"/>
                <w:b/>
                <w:bCs/>
                <w:i/>
                <w:iCs/>
                <w:sz w:val="18"/>
                <w:szCs w:val="18"/>
              </w:rPr>
              <w:t xml:space="preserve"> £12,570.</w:t>
            </w:r>
          </w:p>
        </w:tc>
      </w:tr>
      <w:tr w:rsidR="00C8070C" w:rsidRPr="00EF34F1" w14:paraId="2CBD19DE"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C8ECEDE" w14:textId="77777777" w:rsidR="00C8070C" w:rsidRPr="00EF34F1" w:rsidRDefault="00C8070C" w:rsidP="00C8070C">
            <w:pPr>
              <w:rPr>
                <w:rFonts w:ascii="Arial" w:hAnsi="Arial" w:cs="Arial"/>
                <w:b/>
                <w:bCs/>
                <w:sz w:val="20"/>
                <w:szCs w:val="20"/>
              </w:rPr>
            </w:pPr>
            <w:r w:rsidRPr="00EF34F1">
              <w:rPr>
                <w:rFonts w:ascii="Arial" w:hAnsi="Arial" w:cs="Arial"/>
                <w:b/>
                <w:bCs/>
                <w:sz w:val="20"/>
                <w:szCs w:val="20"/>
              </w:rPr>
              <w:t>Pensions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DA3183B" w14:textId="2B3A666E" w:rsidR="00C8070C" w:rsidRPr="00167E44" w:rsidRDefault="00C8070C" w:rsidP="00C8070C">
            <w:pPr>
              <w:jc w:val="right"/>
              <w:rPr>
                <w:rFonts w:ascii="Arial" w:hAnsi="Arial" w:cs="Arial"/>
                <w:b/>
                <w:bCs/>
                <w:sz w:val="20"/>
                <w:szCs w:val="20"/>
              </w:rPr>
            </w:pPr>
            <w:r w:rsidRPr="00167E44">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E55365" w14:textId="7785620C" w:rsidR="00C8070C" w:rsidRPr="00EF34F1" w:rsidRDefault="00C8070C" w:rsidP="00C8070C">
            <w:pPr>
              <w:jc w:val="right"/>
              <w:rPr>
                <w:rFonts w:ascii="Arial" w:hAnsi="Arial" w:cs="Arial"/>
                <w:b/>
                <w:bCs/>
                <w:sz w:val="20"/>
                <w:szCs w:val="20"/>
              </w:rPr>
            </w:pPr>
            <w:r>
              <w:rPr>
                <w:rFonts w:ascii="Arial" w:hAnsi="Arial" w:cs="Arial"/>
                <w:b/>
                <w:bCs/>
                <w:sz w:val="24"/>
                <w:szCs w:val="24"/>
              </w:rPr>
              <w:t>2021/22</w:t>
            </w:r>
          </w:p>
        </w:tc>
      </w:tr>
      <w:tr w:rsidR="00E40280" w:rsidRPr="00EF34F1" w14:paraId="5DFD822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D961AC2" w14:textId="2D2C8F33" w:rsidR="00E40280" w:rsidRPr="00E87298" w:rsidRDefault="00E40280" w:rsidP="00E40280">
            <w:pPr>
              <w:rPr>
                <w:rFonts w:ascii="Arial" w:hAnsi="Arial" w:cs="Arial"/>
                <w:sz w:val="20"/>
                <w:szCs w:val="20"/>
              </w:rPr>
            </w:pPr>
            <w:r w:rsidRPr="00E87298">
              <w:rPr>
                <w:rFonts w:ascii="Arial" w:hAnsi="Arial" w:cs="Arial"/>
                <w:sz w:val="20"/>
                <w:szCs w:val="20"/>
              </w:rPr>
              <w:t>Annual allowance (note 10)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28D7EC3" w14:textId="0A620F3E"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40,000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944C319" w14:textId="6EEF73B2"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40,000</w:t>
            </w:r>
          </w:p>
        </w:tc>
      </w:tr>
      <w:tr w:rsidR="00E40280" w:rsidRPr="00EF34F1" w14:paraId="3909B17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1760321" w14:textId="56687C09" w:rsidR="00E40280" w:rsidRPr="00E87298" w:rsidRDefault="00E40280" w:rsidP="00E40280">
            <w:pPr>
              <w:rPr>
                <w:rFonts w:ascii="Arial" w:hAnsi="Arial" w:cs="Arial"/>
                <w:sz w:val="20"/>
                <w:szCs w:val="20"/>
              </w:rPr>
            </w:pPr>
            <w:r w:rsidRPr="00E87298">
              <w:rPr>
                <w:rFonts w:ascii="Arial" w:hAnsi="Arial" w:cs="Arial"/>
                <w:sz w:val="20"/>
                <w:szCs w:val="20"/>
              </w:rPr>
              <w:t>Lifetime allowance</w:t>
            </w:r>
            <w:r>
              <w:rPr>
                <w:rFonts w:ascii="Arial" w:hAnsi="Arial" w:cs="Arial"/>
                <w:sz w:val="20"/>
                <w:szCs w:val="20"/>
              </w:rPr>
              <w:t xml:space="preserve"> (note 11)</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762EC59" w14:textId="73365A03"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1,073,100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911C043" w14:textId="2AE377B8"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1,073,100</w:t>
            </w:r>
          </w:p>
        </w:tc>
      </w:tr>
      <w:tr w:rsidR="00E40280" w:rsidRPr="00EF34F1" w14:paraId="1436C29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3E9137E" w14:textId="5CF890D2" w:rsidR="00E40280" w:rsidRPr="00E87298" w:rsidRDefault="00E40280" w:rsidP="00E40280">
            <w:pPr>
              <w:rPr>
                <w:rFonts w:ascii="Arial" w:hAnsi="Arial" w:cs="Arial"/>
                <w:sz w:val="20"/>
                <w:szCs w:val="20"/>
              </w:rPr>
            </w:pPr>
            <w:r w:rsidRPr="00E87298">
              <w:rPr>
                <w:rFonts w:ascii="Arial" w:hAnsi="Arial" w:cs="Arial"/>
                <w:sz w:val="20"/>
                <w:szCs w:val="20"/>
              </w:rPr>
              <w:t>Money purchase annual allowance (note 1</w:t>
            </w:r>
            <w:r>
              <w:rPr>
                <w:rFonts w:ascii="Arial" w:hAnsi="Arial" w:cs="Arial"/>
                <w:sz w:val="20"/>
                <w:szCs w:val="20"/>
              </w:rPr>
              <w:t>2</w:t>
            </w:r>
            <w:r w:rsidRPr="00E87298">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F9DA1A3" w14:textId="73748CA1" w:rsidR="00E40280" w:rsidRPr="00167E44" w:rsidRDefault="00C8070C" w:rsidP="00E40280">
            <w:pPr>
              <w:jc w:val="right"/>
              <w:rPr>
                <w:rFonts w:ascii="Arial" w:hAnsi="Arial" w:cs="Arial"/>
                <w:sz w:val="20"/>
                <w:szCs w:val="20"/>
              </w:rPr>
            </w:pPr>
            <w:r w:rsidRPr="00167E44">
              <w:rPr>
                <w:rFonts w:ascii="Arial" w:hAnsi="Arial" w:cs="Arial"/>
                <w:sz w:val="20"/>
                <w:szCs w:val="20"/>
              </w:rPr>
              <w:t>£</w:t>
            </w:r>
            <w:r w:rsidR="00E40280" w:rsidRPr="00167E44">
              <w:rPr>
                <w:rFonts w:ascii="Arial" w:hAnsi="Arial" w:cs="Arial"/>
                <w:sz w:val="20"/>
                <w:szCs w:val="20"/>
              </w:rPr>
              <w:t>4,000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D4ED464" w14:textId="217E15D3" w:rsidR="00E40280" w:rsidRPr="00DD16C4" w:rsidRDefault="00C8070C" w:rsidP="00E40280">
            <w:pPr>
              <w:jc w:val="right"/>
              <w:rPr>
                <w:rFonts w:ascii="Arial" w:hAnsi="Arial" w:cs="Arial"/>
                <w:sz w:val="20"/>
                <w:szCs w:val="20"/>
              </w:rPr>
            </w:pPr>
            <w:r w:rsidRPr="00DD16C4">
              <w:rPr>
                <w:rFonts w:ascii="Arial" w:hAnsi="Arial" w:cs="Arial"/>
                <w:sz w:val="20"/>
                <w:szCs w:val="20"/>
              </w:rPr>
              <w:t>£</w:t>
            </w:r>
            <w:r w:rsidR="00E40280" w:rsidRPr="00DD16C4">
              <w:rPr>
                <w:rFonts w:ascii="Arial" w:hAnsi="Arial" w:cs="Arial"/>
                <w:sz w:val="20"/>
                <w:szCs w:val="20"/>
              </w:rPr>
              <w:t>4,000</w:t>
            </w:r>
          </w:p>
        </w:tc>
      </w:tr>
      <w:tr w:rsidR="00E40280" w:rsidRPr="00EF34F1" w14:paraId="603FD5DD"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369B4E3B" w14:textId="77777777" w:rsidR="00E40280" w:rsidRDefault="00E40280" w:rsidP="00E40280">
            <w:pPr>
              <w:rPr>
                <w:rFonts w:ascii="Arial" w:hAnsi="Arial" w:cs="Arial"/>
                <w:i/>
                <w:sz w:val="18"/>
                <w:szCs w:val="18"/>
              </w:rPr>
            </w:pPr>
          </w:p>
          <w:p w14:paraId="20684C14" w14:textId="4DC78721" w:rsidR="00E40280" w:rsidRPr="00C4438E" w:rsidRDefault="00E40280" w:rsidP="00E40280">
            <w:pPr>
              <w:rPr>
                <w:rFonts w:ascii="Arial" w:hAnsi="Arial" w:cs="Arial"/>
                <w:i/>
                <w:iCs/>
                <w:sz w:val="18"/>
                <w:szCs w:val="18"/>
              </w:rPr>
            </w:pPr>
            <w:r w:rsidRPr="00C4438E">
              <w:rPr>
                <w:rFonts w:ascii="Arial" w:hAnsi="Arial" w:cs="Arial"/>
                <w:i/>
                <w:sz w:val="18"/>
                <w:szCs w:val="18"/>
              </w:rPr>
              <w:t xml:space="preserve">Note 10: </w:t>
            </w:r>
            <w:r w:rsidR="00EA2944">
              <w:rPr>
                <w:rFonts w:ascii="Arial" w:hAnsi="Arial" w:cs="Arial"/>
                <w:i/>
                <w:sz w:val="18"/>
                <w:szCs w:val="18"/>
              </w:rPr>
              <w:t>t</w:t>
            </w:r>
            <w:r w:rsidRPr="00C4438E">
              <w:rPr>
                <w:rFonts w:ascii="Arial" w:hAnsi="Arial" w:cs="Arial"/>
                <w:i/>
                <w:iCs/>
                <w:sz w:val="18"/>
                <w:szCs w:val="18"/>
              </w:rPr>
              <w:t>he annual allowance is a limit to the total amount of contributions that can be paid to a </w:t>
            </w:r>
            <w:r w:rsidRPr="00EA2944">
              <w:rPr>
                <w:rFonts w:ascii="Arial" w:hAnsi="Arial" w:cs="Arial"/>
                <w:i/>
                <w:iCs/>
                <w:sz w:val="18"/>
                <w:szCs w:val="18"/>
              </w:rPr>
              <w:t>defined contribution</w:t>
            </w:r>
            <w:r w:rsidRPr="00C4438E">
              <w:rPr>
                <w:rFonts w:ascii="Arial" w:hAnsi="Arial" w:cs="Arial"/>
                <w:i/>
                <w:iCs/>
                <w:sz w:val="18"/>
                <w:szCs w:val="18"/>
              </w:rPr>
              <w:t> pension scheme and the total amount of benefits that you can build up in a </w:t>
            </w:r>
            <w:r w:rsidRPr="00EA2944">
              <w:rPr>
                <w:rFonts w:ascii="Arial" w:hAnsi="Arial" w:cs="Arial"/>
                <w:i/>
                <w:iCs/>
                <w:sz w:val="18"/>
                <w:szCs w:val="18"/>
              </w:rPr>
              <w:t>defined benefit </w:t>
            </w:r>
            <w:r w:rsidRPr="00C4438E">
              <w:rPr>
                <w:rFonts w:ascii="Arial" w:hAnsi="Arial" w:cs="Arial"/>
                <w:i/>
                <w:iCs/>
                <w:sz w:val="18"/>
                <w:szCs w:val="18"/>
              </w:rPr>
              <w:t>pension scheme each year, for tax relief purposes.</w:t>
            </w:r>
          </w:p>
          <w:p w14:paraId="5C3B6691" w14:textId="58955897" w:rsidR="00E40280" w:rsidRPr="00710DBE" w:rsidRDefault="00E40280" w:rsidP="00E40280">
            <w:pPr>
              <w:rPr>
                <w:rFonts w:ascii="Arial" w:hAnsi="Arial" w:cs="Arial"/>
                <w:i/>
                <w:iCs/>
                <w:sz w:val="18"/>
                <w:szCs w:val="18"/>
              </w:rPr>
            </w:pPr>
            <w:r w:rsidRPr="00710DBE">
              <w:rPr>
                <w:rFonts w:ascii="Arial" w:hAnsi="Arial" w:cs="Arial"/>
                <w:i/>
                <w:iCs/>
                <w:sz w:val="18"/>
                <w:szCs w:val="18"/>
              </w:rPr>
              <w:t xml:space="preserve">Since 6 April 2016, individuals with a high income have had a tapered annual allowance, where for every £2 of adjusted income over a threshold, an individual’s annual allowance is reduced by £1. From 6 April 2020, the </w:t>
            </w:r>
            <w:r w:rsidR="006D4CCB">
              <w:rPr>
                <w:rFonts w:ascii="Arial" w:hAnsi="Arial" w:cs="Arial"/>
                <w:i/>
                <w:iCs/>
                <w:sz w:val="18"/>
                <w:szCs w:val="18"/>
              </w:rPr>
              <w:t>t</w:t>
            </w:r>
            <w:r w:rsidRPr="00710DBE">
              <w:rPr>
                <w:rFonts w:ascii="Arial" w:hAnsi="Arial" w:cs="Arial"/>
                <w:i/>
                <w:iCs/>
                <w:sz w:val="18"/>
                <w:szCs w:val="18"/>
              </w:rPr>
              <w:t xml:space="preserve">apered </w:t>
            </w:r>
            <w:r w:rsidR="006D4CCB">
              <w:rPr>
                <w:rFonts w:ascii="Arial" w:hAnsi="Arial" w:cs="Arial"/>
                <w:i/>
                <w:iCs/>
                <w:sz w:val="18"/>
                <w:szCs w:val="18"/>
              </w:rPr>
              <w:t>a</w:t>
            </w:r>
            <w:r w:rsidRPr="00710DBE">
              <w:rPr>
                <w:rFonts w:ascii="Arial" w:hAnsi="Arial" w:cs="Arial"/>
                <w:i/>
                <w:iCs/>
                <w:sz w:val="18"/>
                <w:szCs w:val="18"/>
              </w:rPr>
              <w:t xml:space="preserve">nnual </w:t>
            </w:r>
            <w:r w:rsidR="006D4CCB">
              <w:rPr>
                <w:rFonts w:ascii="Arial" w:hAnsi="Arial" w:cs="Arial"/>
                <w:i/>
                <w:iCs/>
                <w:sz w:val="18"/>
                <w:szCs w:val="18"/>
              </w:rPr>
              <w:t>a</w:t>
            </w:r>
            <w:r w:rsidRPr="00710DBE">
              <w:rPr>
                <w:rFonts w:ascii="Arial" w:hAnsi="Arial" w:cs="Arial"/>
                <w:i/>
                <w:iCs/>
                <w:sz w:val="18"/>
                <w:szCs w:val="18"/>
              </w:rPr>
              <w:t xml:space="preserve">llowance applies for individuals with </w:t>
            </w:r>
            <w:r w:rsidR="006D4CCB">
              <w:rPr>
                <w:rFonts w:ascii="Arial" w:hAnsi="Arial" w:cs="Arial"/>
                <w:i/>
                <w:iCs/>
                <w:sz w:val="18"/>
                <w:szCs w:val="18"/>
              </w:rPr>
              <w:t>‘</w:t>
            </w:r>
            <w:r w:rsidRPr="00710DBE">
              <w:rPr>
                <w:rFonts w:ascii="Arial" w:hAnsi="Arial" w:cs="Arial"/>
                <w:i/>
                <w:iCs/>
                <w:sz w:val="18"/>
                <w:szCs w:val="18"/>
              </w:rPr>
              <w:t>threshold income</w:t>
            </w:r>
            <w:r w:rsidR="006D4CCB">
              <w:rPr>
                <w:rFonts w:ascii="Arial" w:hAnsi="Arial" w:cs="Arial"/>
                <w:i/>
                <w:iCs/>
                <w:sz w:val="18"/>
                <w:szCs w:val="18"/>
              </w:rPr>
              <w:t>’</w:t>
            </w:r>
            <w:r w:rsidRPr="00710DBE">
              <w:rPr>
                <w:rFonts w:ascii="Arial" w:hAnsi="Arial" w:cs="Arial"/>
                <w:i/>
                <w:iCs/>
                <w:sz w:val="18"/>
                <w:szCs w:val="18"/>
              </w:rPr>
              <w:t xml:space="preserve"> of over £200,000, and </w:t>
            </w:r>
            <w:r w:rsidR="006D4CCB">
              <w:rPr>
                <w:rFonts w:ascii="Arial" w:hAnsi="Arial" w:cs="Arial"/>
                <w:i/>
                <w:iCs/>
                <w:sz w:val="18"/>
                <w:szCs w:val="18"/>
              </w:rPr>
              <w:t>‘</w:t>
            </w:r>
            <w:r w:rsidRPr="00710DBE">
              <w:rPr>
                <w:rFonts w:ascii="Arial" w:hAnsi="Arial" w:cs="Arial"/>
                <w:i/>
                <w:iCs/>
                <w:sz w:val="18"/>
                <w:szCs w:val="18"/>
              </w:rPr>
              <w:t>adjusted income</w:t>
            </w:r>
            <w:r w:rsidR="006D4CCB">
              <w:rPr>
                <w:rFonts w:ascii="Arial" w:hAnsi="Arial" w:cs="Arial"/>
                <w:i/>
                <w:iCs/>
                <w:sz w:val="18"/>
                <w:szCs w:val="18"/>
              </w:rPr>
              <w:t>’</w:t>
            </w:r>
            <w:r w:rsidRPr="00710DBE">
              <w:rPr>
                <w:rFonts w:ascii="Arial" w:hAnsi="Arial" w:cs="Arial"/>
                <w:i/>
                <w:iCs/>
                <w:sz w:val="18"/>
                <w:szCs w:val="18"/>
              </w:rPr>
              <w:t xml:space="preserve"> of over £240,000. The annual allowance will be £4,000 for individuals with total adjusted income (including pension accrual) over £312,000.</w:t>
            </w:r>
          </w:p>
          <w:p w14:paraId="50E121A5" w14:textId="6B2B0F53" w:rsidR="00E40280" w:rsidRPr="00C4438E" w:rsidRDefault="00E40280" w:rsidP="00E40280">
            <w:pPr>
              <w:rPr>
                <w:rFonts w:ascii="Arial" w:hAnsi="Arial" w:cs="Arial"/>
                <w:i/>
                <w:iCs/>
                <w:sz w:val="18"/>
                <w:szCs w:val="18"/>
              </w:rPr>
            </w:pPr>
            <w:r w:rsidRPr="00C4438E">
              <w:rPr>
                <w:rFonts w:ascii="Arial" w:hAnsi="Arial" w:cs="Arial"/>
                <w:i/>
                <w:iCs/>
                <w:sz w:val="18"/>
                <w:szCs w:val="18"/>
              </w:rPr>
              <w:t xml:space="preserve">Note 11: </w:t>
            </w:r>
            <w:r w:rsidR="00BC2B2A">
              <w:rPr>
                <w:rFonts w:ascii="Arial" w:hAnsi="Arial" w:cs="Arial"/>
                <w:i/>
                <w:iCs/>
                <w:sz w:val="18"/>
                <w:szCs w:val="18"/>
              </w:rPr>
              <w:t>t</w:t>
            </w:r>
            <w:r w:rsidRPr="00C4438E">
              <w:rPr>
                <w:rFonts w:ascii="Arial" w:hAnsi="Arial" w:cs="Arial"/>
                <w:i/>
                <w:iCs/>
                <w:sz w:val="18"/>
                <w:szCs w:val="18"/>
              </w:rPr>
              <w:t xml:space="preserve">he lifetime allowance will remain </w:t>
            </w:r>
            <w:r w:rsidR="00BC2B2A">
              <w:rPr>
                <w:rFonts w:ascii="Arial" w:hAnsi="Arial" w:cs="Arial"/>
                <w:i/>
                <w:iCs/>
                <w:sz w:val="18"/>
                <w:szCs w:val="18"/>
              </w:rPr>
              <w:t xml:space="preserve">the </w:t>
            </w:r>
            <w:r w:rsidRPr="00C4438E">
              <w:rPr>
                <w:rFonts w:ascii="Arial" w:hAnsi="Arial" w:cs="Arial"/>
                <w:i/>
                <w:iCs/>
                <w:sz w:val="18"/>
                <w:szCs w:val="18"/>
              </w:rPr>
              <w:t>same at the current level of £1,073,100 until April 2026.</w:t>
            </w:r>
          </w:p>
          <w:p w14:paraId="7AC12F48" w14:textId="4FA0C376" w:rsidR="00E40280" w:rsidRPr="00EF34F1" w:rsidRDefault="00E40280" w:rsidP="003156CA">
            <w:pPr>
              <w:rPr>
                <w:rFonts w:ascii="Arial" w:hAnsi="Arial" w:cs="Arial"/>
                <w:sz w:val="20"/>
                <w:szCs w:val="20"/>
              </w:rPr>
            </w:pPr>
            <w:r w:rsidRPr="00710DBE">
              <w:rPr>
                <w:rFonts w:ascii="Arial" w:hAnsi="Arial" w:cs="Arial"/>
                <w:i/>
                <w:iCs/>
                <w:sz w:val="18"/>
                <w:szCs w:val="18"/>
              </w:rPr>
              <w:t xml:space="preserve">Note 12: </w:t>
            </w:r>
            <w:r w:rsidR="00BC2B2A">
              <w:rPr>
                <w:rFonts w:ascii="Arial" w:hAnsi="Arial" w:cs="Arial"/>
                <w:i/>
                <w:iCs/>
                <w:sz w:val="18"/>
                <w:szCs w:val="18"/>
              </w:rPr>
              <w:t>t</w:t>
            </w:r>
            <w:r w:rsidRPr="00710DBE">
              <w:rPr>
                <w:rFonts w:ascii="Arial" w:hAnsi="Arial" w:cs="Arial"/>
                <w:i/>
                <w:iCs/>
                <w:sz w:val="18"/>
                <w:szCs w:val="18"/>
              </w:rPr>
              <w:t>he annual allowance is currently capped at £40,000, although a lower limit of £4,000 may apply if you have already started drawing a pension.</w:t>
            </w:r>
          </w:p>
        </w:tc>
      </w:tr>
      <w:tr w:rsidR="00E40280" w:rsidRPr="00EF34F1" w14:paraId="4C803A2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BFC711B" w14:textId="6BC6BDB1" w:rsidR="00E40280" w:rsidRPr="00EF34F1" w:rsidRDefault="00E40280" w:rsidP="00E40280">
            <w:pPr>
              <w:rPr>
                <w:rFonts w:ascii="Arial" w:hAnsi="Arial" w:cs="Arial"/>
                <w:sz w:val="20"/>
                <w:szCs w:val="20"/>
              </w:rPr>
            </w:pPr>
            <w:r w:rsidRPr="00EF34F1">
              <w:rPr>
                <w:rFonts w:ascii="Arial" w:hAnsi="Arial" w:cs="Arial"/>
                <w:sz w:val="20"/>
                <w:szCs w:val="20"/>
              </w:rPr>
              <w:lastRenderedPageBreak/>
              <w:t> </w:t>
            </w:r>
            <w:r w:rsidR="00E71A36" w:rsidRPr="00EF34F1">
              <w:rPr>
                <w:rFonts w:ascii="Arial" w:hAnsi="Arial" w:cs="Arial"/>
                <w:b/>
                <w:bCs/>
                <w:sz w:val="20"/>
                <w:szCs w:val="20"/>
              </w:rPr>
              <w:t>Reliefs and incentives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E8BC8E9" w14:textId="5B006FF0"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3A78404" w14:textId="69E05514"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EF34F1" w14:paraId="5DF7E347"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DDBDA6" w14:textId="157D02AE" w:rsidR="00E40280" w:rsidRPr="007D2CA6" w:rsidRDefault="00E40280" w:rsidP="00E40280">
            <w:pPr>
              <w:rPr>
                <w:rFonts w:ascii="Arial" w:hAnsi="Arial" w:cs="Arial"/>
                <w:sz w:val="20"/>
                <w:szCs w:val="20"/>
              </w:rPr>
            </w:pPr>
            <w:r w:rsidRPr="007D2CA6">
              <w:rPr>
                <w:rFonts w:ascii="Arial" w:hAnsi="Arial" w:cs="Arial"/>
                <w:sz w:val="20"/>
                <w:szCs w:val="20"/>
              </w:rPr>
              <w:t>Enterprise Investment Scheme (EIS) – maximum (note 13)</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AC181C9"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9CFF37"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£1,000,000</w:t>
            </w:r>
          </w:p>
        </w:tc>
      </w:tr>
      <w:tr w:rsidR="00E40280" w:rsidRPr="00EF34F1" w14:paraId="7590ED9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09D71634" w14:textId="77777777" w:rsidR="00E40280" w:rsidRPr="007D2CA6" w:rsidRDefault="00E40280" w:rsidP="00E40280">
            <w:pPr>
              <w:rPr>
                <w:rFonts w:ascii="Arial" w:hAnsi="Arial" w:cs="Arial"/>
                <w:sz w:val="20"/>
                <w:szCs w:val="20"/>
              </w:rPr>
            </w:pPr>
            <w:r w:rsidRPr="007D2CA6">
              <w:rPr>
                <w:rFonts w:ascii="Arial" w:hAnsi="Arial" w:cs="Arial"/>
                <w:sz w:val="20"/>
                <w:szCs w:val="20"/>
              </w:rPr>
              <w:t>Venture Capital Trust (VCT) – maximum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B7B8297"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£200,000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4D8915"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£200,000</w:t>
            </w:r>
          </w:p>
        </w:tc>
      </w:tr>
      <w:tr w:rsidR="00E40280" w:rsidRPr="00EF34F1" w14:paraId="0AC5444A"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F81A44" w14:textId="77777777" w:rsidR="00E40280" w:rsidRPr="007D2CA6" w:rsidRDefault="00E40280" w:rsidP="00E40280">
            <w:pPr>
              <w:rPr>
                <w:rFonts w:ascii="Arial" w:hAnsi="Arial" w:cs="Arial"/>
                <w:sz w:val="20"/>
                <w:szCs w:val="20"/>
              </w:rPr>
            </w:pPr>
            <w:r w:rsidRPr="007D2CA6">
              <w:rPr>
                <w:rFonts w:ascii="Arial" w:hAnsi="Arial" w:cs="Arial"/>
                <w:sz w:val="20"/>
                <w:szCs w:val="20"/>
              </w:rPr>
              <w:t>Enterprise Management Incentive Scheme (EMI) – employee limit up to the value of £250,000 in a three-year period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0147D24"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£250,000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D11B122"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£250,000</w:t>
            </w:r>
          </w:p>
        </w:tc>
      </w:tr>
      <w:tr w:rsidR="00E40280" w:rsidRPr="00EF34F1" w14:paraId="2122D1CC"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4CD983AE" w14:textId="645B0DEA" w:rsidR="00E40280" w:rsidRPr="007D2CA6" w:rsidRDefault="00E40280" w:rsidP="00E40280">
            <w:pPr>
              <w:rPr>
                <w:rFonts w:ascii="Arial" w:hAnsi="Arial" w:cs="Arial"/>
                <w:sz w:val="20"/>
                <w:szCs w:val="20"/>
              </w:rPr>
            </w:pPr>
            <w:r w:rsidRPr="007D2CA6">
              <w:rPr>
                <w:rFonts w:ascii="Arial" w:hAnsi="Arial" w:cs="Arial"/>
                <w:sz w:val="20"/>
                <w:szCs w:val="20"/>
              </w:rPr>
              <w:t>Seed Enterprise Investment Scheme (SEIS) – maximum (note 14)</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F9D77E9"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70E0D58"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w:t>
            </w:r>
          </w:p>
        </w:tc>
      </w:tr>
      <w:tr w:rsidR="00E40280" w:rsidRPr="00EF34F1" w14:paraId="011EE47F"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4FD73701" w14:textId="77777777" w:rsidR="00E40280" w:rsidRPr="007D2CA6" w:rsidRDefault="00E40280" w:rsidP="00E40280">
            <w:pPr>
              <w:rPr>
                <w:rFonts w:ascii="Arial" w:hAnsi="Arial" w:cs="Arial"/>
                <w:sz w:val="20"/>
                <w:szCs w:val="20"/>
              </w:rPr>
            </w:pPr>
            <w:r w:rsidRPr="007D2CA6">
              <w:rPr>
                <w:rFonts w:ascii="Arial" w:hAnsi="Arial" w:cs="Arial"/>
                <w:sz w:val="20"/>
                <w:szCs w:val="20"/>
              </w:rPr>
              <w:t>Social Investment Tax Relief (SITR) – maximum</w:t>
            </w:r>
          </w:p>
        </w:tc>
        <w:tc>
          <w:tcPr>
            <w:tcW w:w="1842" w:type="dxa"/>
            <w:gridSpan w:val="4"/>
            <w:tcBorders>
              <w:top w:val="single" w:sz="4" w:space="0" w:color="auto"/>
              <w:left w:val="single" w:sz="4" w:space="0" w:color="auto"/>
              <w:bottom w:val="single" w:sz="4" w:space="0" w:color="auto"/>
              <w:right w:val="single" w:sz="4" w:space="0" w:color="auto"/>
            </w:tcBorders>
            <w:noWrap/>
          </w:tcPr>
          <w:p w14:paraId="0E660E8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7C486A31"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£1,000,000</w:t>
            </w:r>
          </w:p>
        </w:tc>
      </w:tr>
      <w:tr w:rsidR="00E40280" w:rsidRPr="00EF34F1" w14:paraId="71D604A2"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9309802"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EIS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8443D38"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ED9766"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166E2AF6"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3A7CC04D"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VCT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EEA10C7"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929515"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6A42E053"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hideMark/>
          </w:tcPr>
          <w:p w14:paraId="1B72DB2A"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SEIS schemes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04E8BC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0557A56"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50%</w:t>
            </w:r>
          </w:p>
        </w:tc>
      </w:tr>
      <w:tr w:rsidR="00E40280" w:rsidRPr="00EF34F1" w14:paraId="4E078699"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noWrap/>
          </w:tcPr>
          <w:p w14:paraId="22A4BB01" w14:textId="77777777" w:rsidR="00E40280" w:rsidRPr="007D2CA6" w:rsidRDefault="00E40280" w:rsidP="00E40280">
            <w:pPr>
              <w:rPr>
                <w:rFonts w:ascii="Arial" w:hAnsi="Arial" w:cs="Arial"/>
                <w:sz w:val="20"/>
                <w:szCs w:val="20"/>
              </w:rPr>
            </w:pPr>
            <w:r w:rsidRPr="007D2CA6">
              <w:rPr>
                <w:rFonts w:ascii="Arial" w:hAnsi="Arial" w:cs="Arial"/>
                <w:sz w:val="20"/>
                <w:szCs w:val="20"/>
              </w:rPr>
              <w:t>Income tax relief on SITR schemes</w:t>
            </w:r>
          </w:p>
        </w:tc>
        <w:tc>
          <w:tcPr>
            <w:tcW w:w="1842" w:type="dxa"/>
            <w:gridSpan w:val="4"/>
            <w:tcBorders>
              <w:top w:val="single" w:sz="4" w:space="0" w:color="auto"/>
              <w:left w:val="single" w:sz="4" w:space="0" w:color="auto"/>
              <w:bottom w:val="single" w:sz="4" w:space="0" w:color="auto"/>
              <w:right w:val="single" w:sz="4" w:space="0" w:color="auto"/>
            </w:tcBorders>
            <w:noWrap/>
          </w:tcPr>
          <w:p w14:paraId="24A6D7FA" w14:textId="77777777" w:rsidR="00E40280" w:rsidRPr="007D2CA6" w:rsidRDefault="00E40280" w:rsidP="00E40280">
            <w:pPr>
              <w:jc w:val="right"/>
              <w:rPr>
                <w:rFonts w:ascii="Arial" w:hAnsi="Arial" w:cs="Arial"/>
                <w:sz w:val="20"/>
                <w:szCs w:val="20"/>
              </w:rPr>
            </w:pPr>
            <w:r w:rsidRPr="007D2CA6">
              <w:rPr>
                <w:rFonts w:ascii="Arial" w:hAnsi="Arial" w:cs="Arial"/>
                <w:sz w:val="20"/>
                <w:szCs w:val="20"/>
              </w:rPr>
              <w:t>30%</w:t>
            </w:r>
          </w:p>
        </w:tc>
        <w:tc>
          <w:tcPr>
            <w:tcW w:w="1705" w:type="dxa"/>
            <w:gridSpan w:val="2"/>
            <w:tcBorders>
              <w:top w:val="single" w:sz="4" w:space="0" w:color="auto"/>
              <w:left w:val="single" w:sz="4" w:space="0" w:color="auto"/>
              <w:bottom w:val="single" w:sz="4" w:space="0" w:color="auto"/>
              <w:right w:val="single" w:sz="4" w:space="0" w:color="auto"/>
            </w:tcBorders>
            <w:noWrap/>
          </w:tcPr>
          <w:p w14:paraId="2FB857A8" w14:textId="77777777" w:rsidR="00E40280" w:rsidRPr="00E8591B" w:rsidRDefault="00E40280" w:rsidP="00E40280">
            <w:pPr>
              <w:jc w:val="right"/>
              <w:rPr>
                <w:rFonts w:ascii="Arial" w:hAnsi="Arial" w:cs="Arial"/>
                <w:sz w:val="20"/>
                <w:szCs w:val="20"/>
              </w:rPr>
            </w:pPr>
            <w:r w:rsidRPr="00E8591B">
              <w:rPr>
                <w:rFonts w:ascii="Arial" w:hAnsi="Arial" w:cs="Arial"/>
                <w:sz w:val="20"/>
                <w:szCs w:val="20"/>
              </w:rPr>
              <w:t>30%</w:t>
            </w:r>
          </w:p>
        </w:tc>
      </w:tr>
      <w:tr w:rsidR="00E40280" w:rsidRPr="00EF34F1" w14:paraId="01149327" w14:textId="77777777" w:rsidTr="008F32D5">
        <w:trPr>
          <w:gridAfter w:val="1"/>
          <w:wAfter w:w="236" w:type="dxa"/>
          <w:trHeight w:val="330"/>
        </w:trPr>
        <w:tc>
          <w:tcPr>
            <w:tcW w:w="9923" w:type="dxa"/>
            <w:gridSpan w:val="10"/>
            <w:tcBorders>
              <w:top w:val="single" w:sz="4" w:space="0" w:color="auto"/>
              <w:left w:val="single" w:sz="4" w:space="0" w:color="auto"/>
              <w:bottom w:val="single" w:sz="4" w:space="0" w:color="auto"/>
              <w:right w:val="single" w:sz="4" w:space="0" w:color="auto"/>
            </w:tcBorders>
            <w:noWrap/>
          </w:tcPr>
          <w:p w14:paraId="11C368C3" w14:textId="615BCCFC" w:rsidR="00E40280" w:rsidRPr="007D2CA6" w:rsidRDefault="00E40280" w:rsidP="00E40280">
            <w:pPr>
              <w:rPr>
                <w:rFonts w:ascii="Arial" w:hAnsi="Arial" w:cs="Arial"/>
                <w:i/>
                <w:iCs/>
                <w:sz w:val="18"/>
                <w:szCs w:val="18"/>
              </w:rPr>
            </w:pPr>
            <w:r w:rsidRPr="007D2CA6">
              <w:rPr>
                <w:rFonts w:ascii="Arial" w:hAnsi="Arial" w:cs="Arial"/>
                <w:i/>
                <w:iCs/>
                <w:sz w:val="18"/>
                <w:szCs w:val="18"/>
              </w:rPr>
              <w:t xml:space="preserve">Note 13: </w:t>
            </w:r>
            <w:r w:rsidR="00BC2B2A">
              <w:rPr>
                <w:rFonts w:ascii="Arial" w:hAnsi="Arial" w:cs="Arial"/>
                <w:i/>
                <w:iCs/>
                <w:sz w:val="18"/>
                <w:szCs w:val="18"/>
              </w:rPr>
              <w:t>f</w:t>
            </w:r>
            <w:r w:rsidRPr="007D2CA6">
              <w:rPr>
                <w:rFonts w:ascii="Arial" w:hAnsi="Arial" w:cs="Arial"/>
                <w:i/>
                <w:iCs/>
                <w:sz w:val="18"/>
                <w:szCs w:val="18"/>
              </w:rPr>
              <w:t>rom 6 April 2018, the annual limit is doubled to £2m, provided that any amount over £1m is invested in one or more knowledge-intensive companies.</w:t>
            </w:r>
          </w:p>
          <w:p w14:paraId="1096B7C4" w14:textId="7BDFF882" w:rsidR="00E40280" w:rsidRPr="007D2CA6" w:rsidRDefault="00E40280" w:rsidP="00E40280">
            <w:pPr>
              <w:rPr>
                <w:rFonts w:ascii="Arial" w:hAnsi="Arial" w:cs="Arial"/>
                <w:sz w:val="20"/>
                <w:szCs w:val="20"/>
              </w:rPr>
            </w:pPr>
            <w:r w:rsidRPr="007D2CA6">
              <w:rPr>
                <w:rFonts w:ascii="Arial" w:hAnsi="Arial" w:cs="Arial"/>
                <w:i/>
                <w:iCs/>
                <w:sz w:val="18"/>
                <w:szCs w:val="18"/>
              </w:rPr>
              <w:t xml:space="preserve">Note 14: </w:t>
            </w:r>
            <w:r w:rsidR="00043E66">
              <w:rPr>
                <w:rFonts w:ascii="Arial" w:hAnsi="Arial" w:cs="Arial"/>
                <w:i/>
                <w:iCs/>
                <w:sz w:val="18"/>
                <w:szCs w:val="18"/>
              </w:rPr>
              <w:t>c</w:t>
            </w:r>
            <w:r w:rsidRPr="007D2CA6">
              <w:rPr>
                <w:rFonts w:ascii="Arial" w:hAnsi="Arial" w:cs="Arial"/>
                <w:i/>
                <w:iCs/>
                <w:sz w:val="18"/>
                <w:szCs w:val="18"/>
              </w:rPr>
              <w:t>apital gains tax reinvestment relief may also be available for investments made in 2018/19 on 50% of the amount invested.</w:t>
            </w:r>
          </w:p>
        </w:tc>
      </w:tr>
      <w:tr w:rsidR="004A5334" w:rsidRPr="00EF34F1" w14:paraId="0973A1E1"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D5DF472" w14:textId="5A4D8651" w:rsidR="004A5334" w:rsidRPr="00EF34F1" w:rsidRDefault="004A5334" w:rsidP="004A5334">
            <w:pPr>
              <w:rPr>
                <w:rFonts w:ascii="Arial" w:hAnsi="Arial" w:cs="Arial"/>
                <w:b/>
                <w:bCs/>
                <w:sz w:val="20"/>
                <w:szCs w:val="20"/>
              </w:rPr>
            </w:pPr>
            <w:r w:rsidRPr="00EF34F1">
              <w:rPr>
                <w:rFonts w:ascii="Arial" w:hAnsi="Arial" w:cs="Arial"/>
                <w:b/>
                <w:bCs/>
                <w:sz w:val="20"/>
                <w:szCs w:val="20"/>
              </w:rPr>
              <w:t>Individual Savings Account (ISA)</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8777282" w14:textId="4C075C17" w:rsidR="004A5334" w:rsidRPr="00FB0E41" w:rsidRDefault="004A5334" w:rsidP="004A5334">
            <w:pPr>
              <w:jc w:val="right"/>
              <w:rPr>
                <w:rFonts w:ascii="Arial" w:hAnsi="Arial" w:cs="Arial"/>
                <w:b/>
                <w:bCs/>
                <w:sz w:val="20"/>
                <w:szCs w:val="20"/>
              </w:rPr>
            </w:pPr>
            <w:r w:rsidRPr="00FB0E41">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970DA4D" w14:textId="1DEA3FA2" w:rsidR="004A5334" w:rsidRPr="00CE6084" w:rsidRDefault="004A5334" w:rsidP="004A5334">
            <w:pPr>
              <w:jc w:val="right"/>
              <w:rPr>
                <w:rFonts w:ascii="Arial" w:hAnsi="Arial" w:cs="Arial"/>
                <w:b/>
                <w:bCs/>
                <w:sz w:val="20"/>
                <w:szCs w:val="20"/>
              </w:rPr>
            </w:pPr>
            <w:r>
              <w:rPr>
                <w:rFonts w:ascii="Arial" w:hAnsi="Arial" w:cs="Arial"/>
                <w:b/>
                <w:bCs/>
                <w:sz w:val="24"/>
                <w:szCs w:val="24"/>
              </w:rPr>
              <w:t>2021/22</w:t>
            </w:r>
          </w:p>
        </w:tc>
      </w:tr>
      <w:tr w:rsidR="00E40280" w:rsidRPr="00EF34F1" w14:paraId="261FBFE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415E96A" w14:textId="77777777" w:rsidR="00E40280" w:rsidRPr="005100D4" w:rsidRDefault="00E40280" w:rsidP="00E40280">
            <w:pPr>
              <w:rPr>
                <w:rFonts w:ascii="Arial" w:hAnsi="Arial" w:cs="Arial"/>
                <w:sz w:val="20"/>
                <w:szCs w:val="20"/>
              </w:rPr>
            </w:pPr>
            <w:r w:rsidRPr="005100D4">
              <w:rPr>
                <w:rFonts w:ascii="Arial" w:hAnsi="Arial" w:cs="Arial"/>
                <w:sz w:val="20"/>
                <w:szCs w:val="20"/>
              </w:rPr>
              <w:t xml:space="preserve">ISA (NISA) annual limit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7A85595" w14:textId="48925437"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20,000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FE8194F" w14:textId="60AD7682"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20,000</w:t>
            </w:r>
          </w:p>
        </w:tc>
      </w:tr>
      <w:tr w:rsidR="00E40280" w:rsidRPr="00EF34F1" w14:paraId="7DE001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127A81" w14:textId="77777777" w:rsidR="00E40280" w:rsidRPr="005100D4" w:rsidRDefault="00E40280" w:rsidP="00E40280">
            <w:pPr>
              <w:rPr>
                <w:rFonts w:ascii="Arial" w:hAnsi="Arial" w:cs="Arial"/>
                <w:sz w:val="20"/>
                <w:szCs w:val="20"/>
              </w:rPr>
            </w:pPr>
            <w:r w:rsidRPr="005100D4">
              <w:rPr>
                <w:rFonts w:ascii="Arial" w:hAnsi="Arial" w:cs="Arial"/>
                <w:sz w:val="20"/>
                <w:szCs w:val="20"/>
              </w:rPr>
              <w:t>Junior ISA investment annual limit – under 18, living in the UK</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F2826C" w14:textId="30B59633"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9,000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8826817" w14:textId="79A83BE7"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9,000</w:t>
            </w:r>
          </w:p>
        </w:tc>
      </w:tr>
      <w:tr w:rsidR="00E40280" w:rsidRPr="00EF34F1" w14:paraId="7D15F4B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5B073A7" w14:textId="77777777" w:rsidR="00E40280" w:rsidRPr="005100D4" w:rsidRDefault="00E40280" w:rsidP="00E40280">
            <w:pPr>
              <w:rPr>
                <w:rFonts w:ascii="Arial" w:hAnsi="Arial" w:cs="Arial"/>
                <w:sz w:val="20"/>
                <w:szCs w:val="20"/>
              </w:rPr>
            </w:pPr>
            <w:r w:rsidRPr="005100D4">
              <w:rPr>
                <w:rFonts w:ascii="Arial" w:hAnsi="Arial" w:cs="Arial"/>
                <w:sz w:val="20"/>
                <w:szCs w:val="20"/>
              </w:rPr>
              <w:t xml:space="preserve">Child Trust Fund annual limit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D519108" w14:textId="415002A9"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9,000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D359EB3" w14:textId="460F1596"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9,000</w:t>
            </w:r>
          </w:p>
        </w:tc>
      </w:tr>
      <w:tr w:rsidR="00E40280" w:rsidRPr="00EF34F1" w14:paraId="531ED59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E5B144F" w14:textId="40700082" w:rsidR="00E40280" w:rsidRPr="005100D4" w:rsidRDefault="00E40280" w:rsidP="00E40280">
            <w:pPr>
              <w:rPr>
                <w:rFonts w:ascii="Arial" w:hAnsi="Arial" w:cs="Arial"/>
                <w:sz w:val="20"/>
                <w:szCs w:val="20"/>
              </w:rPr>
            </w:pPr>
            <w:r w:rsidRPr="005100D4">
              <w:rPr>
                <w:rFonts w:ascii="Arial" w:hAnsi="Arial" w:cs="Arial"/>
                <w:sz w:val="20"/>
                <w:szCs w:val="20"/>
              </w:rPr>
              <w:t>Lifetime ISA annual limit (note 1</w:t>
            </w:r>
            <w:r>
              <w:rPr>
                <w:rFonts w:ascii="Arial" w:hAnsi="Arial" w:cs="Arial"/>
                <w:sz w:val="20"/>
                <w:szCs w:val="20"/>
              </w:rPr>
              <w:t>5</w:t>
            </w:r>
            <w:r w:rsidRPr="005100D4">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26FB22" w14:textId="1B713290" w:rsidR="00E40280" w:rsidRPr="00FB0E41" w:rsidRDefault="004A5334" w:rsidP="00E40280">
            <w:pPr>
              <w:jc w:val="right"/>
              <w:rPr>
                <w:rFonts w:ascii="Arial" w:hAnsi="Arial" w:cs="Arial"/>
                <w:sz w:val="20"/>
                <w:szCs w:val="20"/>
              </w:rPr>
            </w:pPr>
            <w:r w:rsidRPr="00FB0E41">
              <w:rPr>
                <w:rFonts w:ascii="Arial" w:hAnsi="Arial" w:cs="Arial"/>
                <w:sz w:val="20"/>
                <w:szCs w:val="20"/>
              </w:rPr>
              <w:t>£</w:t>
            </w:r>
            <w:r w:rsidR="00E40280" w:rsidRPr="00FB0E41">
              <w:rPr>
                <w:rFonts w:ascii="Arial" w:hAnsi="Arial" w:cs="Arial"/>
                <w:sz w:val="20"/>
                <w:szCs w:val="20"/>
              </w:rPr>
              <w:t>4,000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D7D186C" w14:textId="4BBC0152" w:rsidR="00E40280" w:rsidRPr="004A5334" w:rsidRDefault="004A5334" w:rsidP="00E40280">
            <w:pPr>
              <w:jc w:val="right"/>
              <w:rPr>
                <w:rFonts w:ascii="Arial" w:hAnsi="Arial" w:cs="Arial"/>
                <w:sz w:val="20"/>
                <w:szCs w:val="20"/>
              </w:rPr>
            </w:pPr>
            <w:r w:rsidRPr="004A5334">
              <w:rPr>
                <w:rFonts w:ascii="Arial" w:hAnsi="Arial" w:cs="Arial"/>
                <w:sz w:val="20"/>
                <w:szCs w:val="20"/>
              </w:rPr>
              <w:t>£</w:t>
            </w:r>
            <w:r w:rsidR="00E40280" w:rsidRPr="004A5334">
              <w:rPr>
                <w:rFonts w:ascii="Arial" w:hAnsi="Arial" w:cs="Arial"/>
                <w:sz w:val="20"/>
                <w:szCs w:val="20"/>
              </w:rPr>
              <w:t>4,000</w:t>
            </w:r>
          </w:p>
        </w:tc>
      </w:tr>
      <w:tr w:rsidR="00E40280" w:rsidRPr="00EF34F1" w14:paraId="410F81D5"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0F56423" w14:textId="7CCD73AB" w:rsidR="00E40280" w:rsidRPr="00EF34F1" w:rsidRDefault="00E40280" w:rsidP="00E40280">
            <w:pPr>
              <w:rPr>
                <w:rFonts w:ascii="Arial" w:hAnsi="Arial" w:cs="Arial"/>
                <w:sz w:val="20"/>
                <w:szCs w:val="20"/>
              </w:rPr>
            </w:pPr>
            <w:r w:rsidRPr="00781552">
              <w:rPr>
                <w:rFonts w:ascii="Arial" w:hAnsi="Arial" w:cs="Arial"/>
                <w:i/>
                <w:sz w:val="18"/>
                <w:szCs w:val="18"/>
              </w:rPr>
              <w:t xml:space="preserve">Note 15: </w:t>
            </w:r>
            <w:r w:rsidR="00043E66">
              <w:rPr>
                <w:rFonts w:ascii="Arial" w:hAnsi="Arial" w:cs="Arial"/>
                <w:i/>
                <w:sz w:val="18"/>
                <w:szCs w:val="18"/>
              </w:rPr>
              <w:t>t</w:t>
            </w:r>
            <w:r w:rsidRPr="00781552">
              <w:rPr>
                <w:rFonts w:ascii="Arial" w:hAnsi="Arial" w:cs="Arial"/>
                <w:i/>
                <w:sz w:val="18"/>
                <w:szCs w:val="18"/>
              </w:rPr>
              <w:t>o open a Lifetime ISA</w:t>
            </w:r>
            <w:r w:rsidR="00043E66">
              <w:rPr>
                <w:rFonts w:ascii="Arial" w:hAnsi="Arial" w:cs="Arial"/>
                <w:i/>
                <w:sz w:val="18"/>
                <w:szCs w:val="18"/>
              </w:rPr>
              <w:t>,</w:t>
            </w:r>
            <w:r w:rsidRPr="00781552">
              <w:rPr>
                <w:rFonts w:ascii="Arial" w:hAnsi="Arial" w:cs="Arial"/>
                <w:i/>
                <w:sz w:val="18"/>
                <w:szCs w:val="18"/>
              </w:rPr>
              <w:t xml:space="preserve"> you must be 18 or over but under 40. Contributions can be made until 50. The government will add a 25% bonus to the savings, up to a maximum of £1,000 per year. The lifetime ISA limit of £4,000 counts towards the annual ISA limit.</w:t>
            </w:r>
          </w:p>
        </w:tc>
      </w:tr>
      <w:tr w:rsidR="00E40280" w:rsidRPr="00EF34F1" w14:paraId="75C7FD6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AF4B088" w14:textId="26C46E00" w:rsidR="00E40280" w:rsidRPr="00EF34F1" w:rsidRDefault="00E40280" w:rsidP="00E40280">
            <w:pPr>
              <w:rPr>
                <w:rFonts w:ascii="Arial" w:hAnsi="Arial" w:cs="Arial"/>
                <w:b/>
                <w:bCs/>
                <w:sz w:val="20"/>
                <w:szCs w:val="20"/>
              </w:rPr>
            </w:pPr>
            <w:r w:rsidRPr="00EF34F1">
              <w:rPr>
                <w:rFonts w:ascii="Arial" w:hAnsi="Arial" w:cs="Arial"/>
                <w:b/>
                <w:bCs/>
                <w:sz w:val="20"/>
                <w:szCs w:val="20"/>
              </w:rPr>
              <w:t>Capital gains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8251750" w14:textId="531F5AEF" w:rsidR="00E40280" w:rsidRPr="00EF34F1" w:rsidRDefault="00E40280" w:rsidP="00E40280">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FC43F5" w14:textId="781CCAC0" w:rsidR="00E40280" w:rsidRPr="00EF34F1" w:rsidRDefault="00E40280" w:rsidP="00E40280">
            <w:pPr>
              <w:jc w:val="right"/>
              <w:rPr>
                <w:rFonts w:ascii="Arial" w:hAnsi="Arial" w:cs="Arial"/>
                <w:b/>
                <w:bCs/>
                <w:sz w:val="20"/>
                <w:szCs w:val="20"/>
              </w:rPr>
            </w:pPr>
            <w:r>
              <w:rPr>
                <w:rFonts w:ascii="Arial" w:hAnsi="Arial" w:cs="Arial"/>
                <w:b/>
                <w:bCs/>
                <w:sz w:val="24"/>
                <w:szCs w:val="24"/>
              </w:rPr>
              <w:t>2021/22</w:t>
            </w:r>
          </w:p>
        </w:tc>
      </w:tr>
      <w:tr w:rsidR="00E40280" w:rsidRPr="00EF34F1" w14:paraId="1D20C64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F78A49A" w14:textId="02DF58D9" w:rsidR="00E40280" w:rsidRPr="00EA7F07" w:rsidRDefault="00E40280" w:rsidP="00E40280">
            <w:pPr>
              <w:rPr>
                <w:rFonts w:ascii="Arial" w:hAnsi="Arial" w:cs="Arial"/>
                <w:sz w:val="20"/>
                <w:szCs w:val="20"/>
              </w:rPr>
            </w:pPr>
            <w:r w:rsidRPr="00EA7F07">
              <w:rPr>
                <w:rFonts w:ascii="Arial" w:hAnsi="Arial" w:cs="Arial"/>
                <w:sz w:val="20"/>
                <w:szCs w:val="20"/>
              </w:rPr>
              <w:t xml:space="preserve">Basic rate tax payer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24F7318" w14:textId="77777777" w:rsidR="00E40280" w:rsidRPr="007E08E9" w:rsidRDefault="00E40280" w:rsidP="00E40280">
            <w:pPr>
              <w:jc w:val="right"/>
              <w:rPr>
                <w:rFonts w:ascii="Arial" w:hAnsi="Arial" w:cs="Arial"/>
                <w:sz w:val="20"/>
                <w:szCs w:val="20"/>
              </w:rPr>
            </w:pPr>
            <w:r w:rsidRPr="007E08E9">
              <w:rPr>
                <w:rFonts w:ascii="Arial" w:hAnsi="Arial" w:cs="Arial"/>
                <w:sz w:val="20"/>
                <w:szCs w:val="20"/>
              </w:rPr>
              <w:t> 10%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FF6709"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 10%</w:t>
            </w:r>
          </w:p>
        </w:tc>
      </w:tr>
      <w:tr w:rsidR="00E40280" w:rsidRPr="00EF34F1" w14:paraId="5D21E58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0D63249A" w14:textId="7DA5DE52" w:rsidR="00E40280" w:rsidRPr="00EA7F07" w:rsidRDefault="00E40280" w:rsidP="00E40280">
            <w:pPr>
              <w:rPr>
                <w:rFonts w:ascii="Arial" w:hAnsi="Arial" w:cs="Arial"/>
                <w:sz w:val="20"/>
                <w:szCs w:val="20"/>
              </w:rPr>
            </w:pPr>
            <w:r w:rsidRPr="00EA7F07">
              <w:rPr>
                <w:rFonts w:ascii="Arial" w:hAnsi="Arial" w:cs="Arial"/>
                <w:sz w:val="20"/>
                <w:szCs w:val="20"/>
              </w:rPr>
              <w:t xml:space="preserve">Higher rate tax payer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F7FF220" w14:textId="77777777" w:rsidR="00E40280" w:rsidRPr="007E08E9" w:rsidRDefault="00E40280" w:rsidP="00E40280">
            <w:pPr>
              <w:jc w:val="right"/>
              <w:rPr>
                <w:rFonts w:ascii="Arial" w:hAnsi="Arial" w:cs="Arial"/>
                <w:sz w:val="20"/>
                <w:szCs w:val="20"/>
              </w:rPr>
            </w:pPr>
            <w:r w:rsidRPr="007E08E9">
              <w:rPr>
                <w:rFonts w:ascii="Arial" w:hAnsi="Arial" w:cs="Arial"/>
                <w:sz w:val="20"/>
                <w:szCs w:val="20"/>
              </w:rPr>
              <w:t> 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A7888B8"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 20%</w:t>
            </w:r>
          </w:p>
        </w:tc>
      </w:tr>
      <w:tr w:rsidR="00E40280" w:rsidRPr="00EF34F1" w14:paraId="6E48646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86FD225" w14:textId="76EA13D4" w:rsidR="00E40280" w:rsidRPr="00EA7F07" w:rsidRDefault="00E40280" w:rsidP="00E40280">
            <w:pPr>
              <w:rPr>
                <w:rFonts w:ascii="Arial" w:hAnsi="Arial" w:cs="Arial"/>
                <w:i/>
                <w:iCs/>
                <w:sz w:val="20"/>
                <w:szCs w:val="20"/>
              </w:rPr>
            </w:pPr>
            <w:r w:rsidRPr="00EA7F07">
              <w:rPr>
                <w:rFonts w:ascii="Arial" w:hAnsi="Arial" w:cs="Arial"/>
                <w:i/>
                <w:iCs/>
                <w:sz w:val="20"/>
                <w:szCs w:val="20"/>
              </w:rPr>
              <w:t>Gain on sale of residential property</w:t>
            </w:r>
            <w:r w:rsidR="00A76F18">
              <w:rPr>
                <w:rFonts w:ascii="Arial" w:hAnsi="Arial" w:cs="Arial"/>
                <w:i/>
                <w:iCs/>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4DDCEAC" w14:textId="77777777" w:rsidR="00E40280" w:rsidRPr="006C7753" w:rsidRDefault="00E40280" w:rsidP="00E40280">
            <w:pPr>
              <w:jc w:val="right"/>
              <w:rPr>
                <w:rFonts w:ascii="Arial" w:hAnsi="Arial" w:cs="Arial"/>
                <w:sz w:val="20"/>
                <w:szCs w:val="20"/>
              </w:rPr>
            </w:pP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C4E98C9" w14:textId="77777777" w:rsidR="00E40280" w:rsidRPr="00BB7AA9" w:rsidRDefault="00E40280" w:rsidP="00E40280">
            <w:pPr>
              <w:jc w:val="right"/>
              <w:rPr>
                <w:rFonts w:ascii="Arial" w:hAnsi="Arial" w:cs="Arial"/>
                <w:sz w:val="20"/>
                <w:szCs w:val="20"/>
              </w:rPr>
            </w:pPr>
          </w:p>
        </w:tc>
      </w:tr>
      <w:tr w:rsidR="00E40280" w:rsidRPr="00EF34F1" w14:paraId="20423E4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6A40E0B1" w14:textId="41B669C6" w:rsidR="00E40280" w:rsidRPr="00EA7F07" w:rsidRDefault="00E40280" w:rsidP="00E40280">
            <w:pPr>
              <w:rPr>
                <w:rFonts w:ascii="Arial" w:hAnsi="Arial" w:cs="Arial"/>
                <w:sz w:val="20"/>
                <w:szCs w:val="20"/>
              </w:rPr>
            </w:pPr>
            <w:r w:rsidRPr="00EA7F07">
              <w:rPr>
                <w:rFonts w:ascii="Arial" w:hAnsi="Arial" w:cs="Arial"/>
                <w:sz w:val="20"/>
                <w:szCs w:val="20"/>
              </w:rPr>
              <w:t xml:space="preserve">Basic rate tax payer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5F8CA54" w14:textId="77777777" w:rsidR="00E40280" w:rsidRPr="002B3DAD" w:rsidRDefault="00E40280" w:rsidP="00E40280">
            <w:pPr>
              <w:jc w:val="right"/>
              <w:rPr>
                <w:rFonts w:ascii="Arial" w:hAnsi="Arial" w:cs="Arial"/>
                <w:sz w:val="20"/>
                <w:szCs w:val="20"/>
              </w:rPr>
            </w:pPr>
            <w:r w:rsidRPr="002B3DAD">
              <w:rPr>
                <w:rFonts w:ascii="Arial" w:hAnsi="Arial" w:cs="Arial"/>
                <w:sz w:val="20"/>
                <w:szCs w:val="20"/>
              </w:rPr>
              <w:t>18%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476E529"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18%</w:t>
            </w:r>
          </w:p>
        </w:tc>
      </w:tr>
      <w:tr w:rsidR="00E40280" w:rsidRPr="00EF34F1" w14:paraId="12F520C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285BB7E2" w14:textId="66290171" w:rsidR="00E40280" w:rsidRPr="00EA7F07" w:rsidRDefault="00E40280" w:rsidP="00E40280">
            <w:pPr>
              <w:rPr>
                <w:rFonts w:ascii="Arial" w:hAnsi="Arial" w:cs="Arial"/>
                <w:sz w:val="20"/>
                <w:szCs w:val="20"/>
              </w:rPr>
            </w:pPr>
            <w:r w:rsidRPr="00EA7F07">
              <w:rPr>
                <w:rFonts w:ascii="Arial" w:hAnsi="Arial" w:cs="Arial"/>
                <w:sz w:val="20"/>
                <w:szCs w:val="20"/>
              </w:rPr>
              <w:t>Higher rate tax payer</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1AA1245" w14:textId="77777777" w:rsidR="00E40280" w:rsidRPr="002B3DAD" w:rsidRDefault="00E40280" w:rsidP="00E40280">
            <w:pPr>
              <w:jc w:val="right"/>
              <w:rPr>
                <w:rFonts w:ascii="Arial" w:hAnsi="Arial" w:cs="Arial"/>
                <w:sz w:val="20"/>
                <w:szCs w:val="20"/>
              </w:rPr>
            </w:pPr>
            <w:r w:rsidRPr="002B3DAD">
              <w:rPr>
                <w:rFonts w:ascii="Arial" w:hAnsi="Arial" w:cs="Arial"/>
                <w:sz w:val="20"/>
                <w:szCs w:val="20"/>
              </w:rPr>
              <w:t>28%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8BD19C" w14:textId="77777777" w:rsidR="00E40280" w:rsidRPr="00BB7AA9" w:rsidRDefault="00E40280" w:rsidP="00E40280">
            <w:pPr>
              <w:jc w:val="right"/>
              <w:rPr>
                <w:rFonts w:ascii="Arial" w:hAnsi="Arial" w:cs="Arial"/>
                <w:sz w:val="20"/>
                <w:szCs w:val="20"/>
              </w:rPr>
            </w:pPr>
            <w:r w:rsidRPr="00BB7AA9">
              <w:rPr>
                <w:rFonts w:ascii="Arial" w:hAnsi="Arial" w:cs="Arial"/>
                <w:sz w:val="20"/>
                <w:szCs w:val="20"/>
              </w:rPr>
              <w:t>28%</w:t>
            </w:r>
          </w:p>
        </w:tc>
      </w:tr>
      <w:tr w:rsidR="00E40280" w:rsidRPr="00EF34F1" w14:paraId="49B30AB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D71F772" w14:textId="45599092" w:rsidR="00E40280" w:rsidRPr="00A424C8" w:rsidRDefault="00E40280" w:rsidP="00E40280">
            <w:pPr>
              <w:rPr>
                <w:rFonts w:ascii="Arial" w:hAnsi="Arial" w:cs="Arial"/>
                <w:sz w:val="20"/>
                <w:szCs w:val="20"/>
                <w:highlight w:val="cyan"/>
              </w:rPr>
            </w:pPr>
            <w:r w:rsidRPr="00EA7F07">
              <w:rPr>
                <w:rFonts w:ascii="Arial" w:hAnsi="Arial" w:cs="Arial"/>
                <w:sz w:val="20"/>
                <w:szCs w:val="20"/>
              </w:rPr>
              <w:t>Annual exemption – individuals</w:t>
            </w:r>
            <w:r w:rsidR="00043E66">
              <w:rPr>
                <w:rFonts w:ascii="Arial" w:hAnsi="Arial" w:cs="Arial"/>
                <w:sz w:val="20"/>
                <w:szCs w:val="20"/>
              </w:rPr>
              <w:t>/</w:t>
            </w:r>
            <w:r w:rsidRPr="00EF34F1">
              <w:rPr>
                <w:rFonts w:ascii="Arial" w:hAnsi="Arial" w:cs="Arial"/>
                <w:sz w:val="20"/>
                <w:szCs w:val="20"/>
              </w:rPr>
              <w:t>trusts for disabled persons</w:t>
            </w:r>
            <w:r>
              <w:rPr>
                <w:rFonts w:ascii="Arial" w:hAnsi="Arial" w:cs="Arial"/>
                <w:sz w:val="20"/>
                <w:szCs w:val="20"/>
              </w:rPr>
              <w:t xml:space="preserve"> (note 16)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82E99EB" w14:textId="53C9446B" w:rsidR="00E40280" w:rsidRPr="002654E1" w:rsidRDefault="00E40280" w:rsidP="00E40280">
            <w:pPr>
              <w:jc w:val="right"/>
              <w:rPr>
                <w:rFonts w:ascii="Arial" w:hAnsi="Arial" w:cs="Arial"/>
                <w:sz w:val="20"/>
                <w:szCs w:val="20"/>
              </w:rPr>
            </w:pPr>
            <w:r w:rsidRPr="002654E1">
              <w:rPr>
                <w:rFonts w:ascii="Arial" w:hAnsi="Arial" w:cs="Arial"/>
                <w:sz w:val="20"/>
                <w:szCs w:val="20"/>
              </w:rPr>
              <w:t>£12,300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ED3AD7A"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£12,300</w:t>
            </w:r>
          </w:p>
        </w:tc>
      </w:tr>
      <w:tr w:rsidR="00E40280" w:rsidRPr="00EF34F1" w14:paraId="3B1D39E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A29DA6" w14:textId="285D3064" w:rsidR="00E40280" w:rsidRPr="00EF34F1" w:rsidRDefault="00E40280" w:rsidP="00E40280">
            <w:pPr>
              <w:rPr>
                <w:rFonts w:ascii="Arial" w:hAnsi="Arial" w:cs="Arial"/>
                <w:sz w:val="20"/>
                <w:szCs w:val="20"/>
              </w:rPr>
            </w:pPr>
            <w:r>
              <w:rPr>
                <w:rFonts w:ascii="Arial" w:hAnsi="Arial" w:cs="Arial"/>
                <w:sz w:val="20"/>
                <w:szCs w:val="20"/>
              </w:rPr>
              <w:t xml:space="preserve">Annual exemption – other </w:t>
            </w:r>
            <w:r w:rsidRPr="00EF34F1">
              <w:rPr>
                <w:rFonts w:ascii="Arial" w:hAnsi="Arial" w:cs="Arial"/>
                <w:sz w:val="20"/>
                <w:szCs w:val="20"/>
              </w:rPr>
              <w:t>trusts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286E2B0" w14:textId="1E4BC906" w:rsidR="00E40280" w:rsidRPr="002654E1" w:rsidRDefault="00E40280" w:rsidP="00E40280">
            <w:pPr>
              <w:jc w:val="right"/>
              <w:rPr>
                <w:rFonts w:ascii="Arial" w:hAnsi="Arial" w:cs="Arial"/>
                <w:sz w:val="20"/>
                <w:szCs w:val="20"/>
              </w:rPr>
            </w:pPr>
            <w:r w:rsidRPr="002654E1">
              <w:rPr>
                <w:rFonts w:ascii="Arial" w:hAnsi="Arial" w:cs="Arial"/>
                <w:sz w:val="20"/>
                <w:szCs w:val="20"/>
              </w:rPr>
              <w:t>£6,150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BB35DAB"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£6,150</w:t>
            </w:r>
          </w:p>
        </w:tc>
      </w:tr>
      <w:tr w:rsidR="00E40280" w:rsidRPr="00EF34F1" w14:paraId="70E327F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B42D8AF" w14:textId="35DDB4DC" w:rsidR="00E40280" w:rsidRPr="00EF34F1" w:rsidRDefault="00E40280" w:rsidP="00E40280">
            <w:pPr>
              <w:rPr>
                <w:rFonts w:ascii="Arial" w:hAnsi="Arial" w:cs="Arial"/>
                <w:sz w:val="20"/>
                <w:szCs w:val="20"/>
              </w:rPr>
            </w:pPr>
            <w:r>
              <w:rPr>
                <w:rFonts w:ascii="Arial" w:hAnsi="Arial" w:cs="Arial"/>
                <w:sz w:val="20"/>
                <w:szCs w:val="20"/>
              </w:rPr>
              <w:lastRenderedPageBreak/>
              <w:t xml:space="preserve">Business Assets Disposal Relief </w:t>
            </w:r>
            <w:r w:rsidRPr="00EF34F1">
              <w:rPr>
                <w:rFonts w:ascii="Arial" w:hAnsi="Arial" w:cs="Arial"/>
                <w:sz w:val="20"/>
                <w:szCs w:val="20"/>
              </w:rPr>
              <w:t>lifetime limit</w:t>
            </w:r>
            <w:r>
              <w:rPr>
                <w:rFonts w:ascii="Arial" w:hAnsi="Arial" w:cs="Arial"/>
                <w:sz w:val="20"/>
                <w:szCs w:val="20"/>
              </w:rPr>
              <w:t xml:space="preserve"> (note 17)</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E7FB140"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3BFD1E0"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£1,000,000</w:t>
            </w:r>
          </w:p>
        </w:tc>
      </w:tr>
      <w:tr w:rsidR="00E40280" w:rsidRPr="00EF34F1" w14:paraId="3CBC7EC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5580DAF0" w14:textId="77777777" w:rsidR="00E40280" w:rsidRPr="00EF34F1" w:rsidRDefault="00E40280" w:rsidP="00E40280">
            <w:pPr>
              <w:rPr>
                <w:rFonts w:ascii="Arial" w:hAnsi="Arial" w:cs="Arial"/>
                <w:sz w:val="20"/>
                <w:szCs w:val="20"/>
              </w:rPr>
            </w:pPr>
            <w:r w:rsidRPr="00EF34F1">
              <w:rPr>
                <w:rFonts w:ascii="Arial" w:hAnsi="Arial" w:cs="Arial"/>
                <w:sz w:val="20"/>
                <w:szCs w:val="20"/>
              </w:rPr>
              <w:t>Investors</w:t>
            </w:r>
            <w:r>
              <w:rPr>
                <w:rFonts w:ascii="Arial" w:hAnsi="Arial" w:cs="Arial"/>
                <w:sz w:val="20"/>
                <w:szCs w:val="20"/>
              </w:rPr>
              <w:t>’</w:t>
            </w:r>
            <w:r w:rsidRPr="00EF34F1">
              <w:rPr>
                <w:rFonts w:ascii="Arial" w:hAnsi="Arial" w:cs="Arial"/>
                <w:sz w:val="20"/>
                <w:szCs w:val="20"/>
              </w:rPr>
              <w:t xml:space="preserve"> Relief lifetime limit</w:t>
            </w:r>
          </w:p>
        </w:tc>
        <w:tc>
          <w:tcPr>
            <w:tcW w:w="1842" w:type="dxa"/>
            <w:gridSpan w:val="4"/>
            <w:tcBorders>
              <w:top w:val="single" w:sz="4" w:space="0" w:color="auto"/>
              <w:left w:val="single" w:sz="4" w:space="0" w:color="auto"/>
              <w:bottom w:val="single" w:sz="4" w:space="0" w:color="auto"/>
              <w:right w:val="single" w:sz="4" w:space="0" w:color="auto"/>
            </w:tcBorders>
            <w:noWrap/>
          </w:tcPr>
          <w:p w14:paraId="4B5C099F"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24E9E9D6"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£10,000,000</w:t>
            </w:r>
          </w:p>
        </w:tc>
      </w:tr>
      <w:tr w:rsidR="00E40280" w:rsidRPr="00EF34F1" w14:paraId="400A11A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6575495" w14:textId="3265B848" w:rsidR="00E40280" w:rsidRPr="00EF34F1" w:rsidRDefault="00A26D70" w:rsidP="00E40280">
            <w:pPr>
              <w:rPr>
                <w:rFonts w:ascii="Arial" w:hAnsi="Arial" w:cs="Arial"/>
                <w:sz w:val="20"/>
                <w:szCs w:val="20"/>
              </w:rPr>
            </w:pPr>
            <w:r>
              <w:rPr>
                <w:rFonts w:ascii="Arial" w:hAnsi="Arial" w:cs="Arial"/>
                <w:sz w:val="20"/>
                <w:szCs w:val="20"/>
              </w:rPr>
              <w:t>Business Assets Disposal Relief</w:t>
            </w:r>
            <w:r w:rsidR="002654E1">
              <w:rPr>
                <w:rFonts w:ascii="Arial" w:hAnsi="Arial" w:cs="Arial"/>
                <w:sz w:val="20"/>
                <w:szCs w:val="20"/>
              </w:rPr>
              <w:t xml:space="preserve"> </w:t>
            </w:r>
            <w:r w:rsidR="00E40280" w:rsidRPr="00EF34F1">
              <w:rPr>
                <w:rFonts w:ascii="Arial" w:hAnsi="Arial" w:cs="Arial"/>
                <w:sz w:val="20"/>
                <w:szCs w:val="20"/>
              </w:rPr>
              <w:t>/</w:t>
            </w:r>
            <w:r w:rsidR="002654E1">
              <w:rPr>
                <w:rFonts w:ascii="Arial" w:hAnsi="Arial" w:cs="Arial"/>
                <w:sz w:val="20"/>
                <w:szCs w:val="20"/>
              </w:rPr>
              <w:t xml:space="preserve"> </w:t>
            </w:r>
            <w:r w:rsidR="00E40280" w:rsidRPr="00EF34F1">
              <w:rPr>
                <w:rFonts w:ascii="Arial" w:hAnsi="Arial" w:cs="Arial"/>
                <w:sz w:val="20"/>
                <w:szCs w:val="20"/>
              </w:rPr>
              <w:t>Investors</w:t>
            </w:r>
            <w:r w:rsidR="00E40280">
              <w:rPr>
                <w:rFonts w:ascii="Arial" w:hAnsi="Arial" w:cs="Arial"/>
                <w:sz w:val="20"/>
                <w:szCs w:val="20"/>
              </w:rPr>
              <w:t>’</w:t>
            </w:r>
            <w:r w:rsidR="00E40280" w:rsidRPr="00EF34F1">
              <w:rPr>
                <w:rFonts w:ascii="Arial" w:hAnsi="Arial" w:cs="Arial"/>
                <w:sz w:val="20"/>
                <w:szCs w:val="20"/>
              </w:rPr>
              <w:t xml:space="preserve"> </w:t>
            </w:r>
            <w:r w:rsidR="00E40280">
              <w:rPr>
                <w:rFonts w:ascii="Arial" w:hAnsi="Arial" w:cs="Arial"/>
                <w:sz w:val="20"/>
                <w:szCs w:val="20"/>
              </w:rPr>
              <w:t>r</w:t>
            </w:r>
            <w:r w:rsidR="00E40280" w:rsidRPr="00EF34F1">
              <w:rPr>
                <w:rFonts w:ascii="Arial" w:hAnsi="Arial" w:cs="Arial"/>
                <w:sz w:val="20"/>
                <w:szCs w:val="20"/>
              </w:rPr>
              <w:t>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F54A0E1"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10%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CACE640"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10%</w:t>
            </w:r>
          </w:p>
        </w:tc>
      </w:tr>
      <w:tr w:rsidR="00E40280" w:rsidRPr="00EF34F1" w14:paraId="739CC53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54C707"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Chattels exemption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86445B1" w14:textId="77777777" w:rsidR="00E40280" w:rsidRPr="006C7753" w:rsidRDefault="00E40280" w:rsidP="00E40280">
            <w:pPr>
              <w:jc w:val="right"/>
              <w:rPr>
                <w:rFonts w:ascii="Arial" w:hAnsi="Arial" w:cs="Arial"/>
                <w:sz w:val="20"/>
                <w:szCs w:val="20"/>
              </w:rPr>
            </w:pPr>
            <w:r w:rsidRPr="006C7753">
              <w:rPr>
                <w:rFonts w:ascii="Arial" w:hAnsi="Arial" w:cs="Arial"/>
                <w:sz w:val="20"/>
                <w:szCs w:val="20"/>
              </w:rPr>
              <w:t>£6,000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9D24B3A" w14:textId="77777777" w:rsidR="00E40280" w:rsidRPr="002654E1" w:rsidRDefault="00E40280" w:rsidP="00E40280">
            <w:pPr>
              <w:jc w:val="right"/>
              <w:rPr>
                <w:rFonts w:ascii="Arial" w:hAnsi="Arial" w:cs="Arial"/>
                <w:sz w:val="20"/>
                <w:szCs w:val="20"/>
              </w:rPr>
            </w:pPr>
            <w:r w:rsidRPr="002654E1">
              <w:rPr>
                <w:rFonts w:ascii="Arial" w:hAnsi="Arial" w:cs="Arial"/>
                <w:sz w:val="20"/>
                <w:szCs w:val="20"/>
              </w:rPr>
              <w:t>£6,000</w:t>
            </w:r>
          </w:p>
        </w:tc>
      </w:tr>
      <w:tr w:rsidR="00E40280" w:rsidRPr="00EF34F1" w14:paraId="6B830AC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2F810B0E" w14:textId="5031FB99" w:rsidR="00E40280" w:rsidRPr="007F2DCE" w:rsidRDefault="00E40280" w:rsidP="00E40280">
            <w:pPr>
              <w:rPr>
                <w:rFonts w:ascii="Arial" w:hAnsi="Arial" w:cs="Arial"/>
                <w:bCs/>
                <w:i/>
                <w:sz w:val="18"/>
                <w:szCs w:val="18"/>
              </w:rPr>
            </w:pPr>
            <w:r w:rsidRPr="00A26D70">
              <w:rPr>
                <w:rFonts w:ascii="Arial" w:hAnsi="Arial" w:cs="Arial"/>
                <w:bCs/>
                <w:i/>
                <w:sz w:val="18"/>
                <w:szCs w:val="18"/>
              </w:rPr>
              <w:t xml:space="preserve">Note 16: </w:t>
            </w:r>
            <w:r w:rsidR="00043E66">
              <w:rPr>
                <w:rFonts w:ascii="Arial" w:hAnsi="Arial" w:cs="Arial"/>
                <w:bCs/>
                <w:i/>
                <w:sz w:val="18"/>
                <w:szCs w:val="18"/>
              </w:rPr>
              <w:t>a</w:t>
            </w:r>
            <w:r w:rsidRPr="00A26D70">
              <w:rPr>
                <w:rFonts w:ascii="Arial" w:hAnsi="Arial" w:cs="Arial"/>
                <w:bCs/>
                <w:i/>
                <w:sz w:val="18"/>
                <w:szCs w:val="18"/>
              </w:rPr>
              <w:t>nnual exemption of £12,300 is frozen until tax year 2025</w:t>
            </w:r>
            <w:r w:rsidR="00043E66">
              <w:rPr>
                <w:rFonts w:ascii="Arial" w:hAnsi="Arial" w:cs="Arial"/>
                <w:bCs/>
                <w:i/>
                <w:sz w:val="18"/>
                <w:szCs w:val="18"/>
              </w:rPr>
              <w:t>/</w:t>
            </w:r>
            <w:r w:rsidRPr="00A26D70">
              <w:rPr>
                <w:rFonts w:ascii="Arial" w:hAnsi="Arial" w:cs="Arial"/>
                <w:bCs/>
                <w:i/>
                <w:sz w:val="18"/>
                <w:szCs w:val="18"/>
              </w:rPr>
              <w:t>26.</w:t>
            </w:r>
            <w:r w:rsidRPr="007F2DCE">
              <w:rPr>
                <w:rFonts w:ascii="Arial" w:hAnsi="Arial" w:cs="Arial"/>
                <w:bCs/>
                <w:i/>
                <w:sz w:val="18"/>
                <w:szCs w:val="18"/>
              </w:rPr>
              <w:t xml:space="preserve"> </w:t>
            </w:r>
          </w:p>
          <w:p w14:paraId="6045A976" w14:textId="3493197D" w:rsidR="00E40280" w:rsidRPr="00807A61" w:rsidRDefault="00E40280" w:rsidP="00E40280">
            <w:pPr>
              <w:rPr>
                <w:rFonts w:ascii="Arial" w:hAnsi="Arial" w:cs="Arial"/>
                <w:sz w:val="18"/>
                <w:szCs w:val="18"/>
                <w:highlight w:val="yellow"/>
              </w:rPr>
            </w:pPr>
            <w:r w:rsidRPr="007F2DCE">
              <w:rPr>
                <w:rFonts w:ascii="Arial" w:hAnsi="Arial" w:cs="Arial"/>
                <w:bCs/>
                <w:i/>
                <w:sz w:val="18"/>
                <w:szCs w:val="18"/>
              </w:rPr>
              <w:t>Note 17: Business Assets Disposal Relief (formerly Entrepreneurs’ Relief) lifetime limit reduced from £10m to £1m for disposals made on or after 11 March 2020.</w:t>
            </w:r>
          </w:p>
        </w:tc>
      </w:tr>
      <w:tr w:rsidR="00E40280" w:rsidRPr="00EF34F1" w14:paraId="054F719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D415840" w14:textId="77777777" w:rsidR="00E40280" w:rsidRPr="00EF34F1" w:rsidRDefault="00E40280" w:rsidP="00E40280">
            <w:pPr>
              <w:rPr>
                <w:rFonts w:ascii="Arial" w:hAnsi="Arial" w:cs="Arial"/>
                <w:b/>
                <w:bCs/>
                <w:sz w:val="20"/>
                <w:szCs w:val="20"/>
              </w:rPr>
            </w:pPr>
            <w:r w:rsidRPr="00EF34F1">
              <w:rPr>
                <w:rFonts w:ascii="Arial" w:hAnsi="Arial" w:cs="Arial"/>
                <w:b/>
                <w:bCs/>
                <w:sz w:val="20"/>
                <w:szCs w:val="20"/>
              </w:rPr>
              <w:t>Inheritance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EE34EB6" w14:textId="0CF27EA6" w:rsidR="00E40280" w:rsidRPr="00EF34F1" w:rsidRDefault="00E40280" w:rsidP="00E40280">
            <w:pPr>
              <w:jc w:val="center"/>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14F968D" w14:textId="7E82B751" w:rsidR="00E40280" w:rsidRPr="00EF34F1" w:rsidRDefault="00E40280" w:rsidP="00E40280">
            <w:pPr>
              <w:jc w:val="center"/>
              <w:rPr>
                <w:rFonts w:ascii="Arial" w:hAnsi="Arial" w:cs="Arial"/>
                <w:b/>
                <w:bCs/>
                <w:sz w:val="20"/>
                <w:szCs w:val="20"/>
              </w:rPr>
            </w:pPr>
            <w:r>
              <w:rPr>
                <w:rFonts w:ascii="Arial" w:hAnsi="Arial" w:cs="Arial"/>
                <w:b/>
                <w:bCs/>
                <w:sz w:val="24"/>
                <w:szCs w:val="24"/>
              </w:rPr>
              <w:t>2021/22</w:t>
            </w:r>
          </w:p>
        </w:tc>
      </w:tr>
      <w:tr w:rsidR="00E40280" w:rsidRPr="00EF34F1" w14:paraId="031773D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C4B96B" w14:textId="77777777" w:rsidR="00E40280" w:rsidRPr="00EF34F1" w:rsidRDefault="00E40280" w:rsidP="00E40280">
            <w:pPr>
              <w:rPr>
                <w:rFonts w:ascii="Arial" w:hAnsi="Arial" w:cs="Arial"/>
                <w:sz w:val="20"/>
                <w:szCs w:val="20"/>
              </w:rPr>
            </w:pPr>
            <w:r w:rsidRPr="00EF34F1">
              <w:rPr>
                <w:rFonts w:ascii="Arial" w:hAnsi="Arial" w:cs="Arial"/>
                <w:sz w:val="20"/>
                <w:szCs w:val="20"/>
              </w:rPr>
              <w:t>Single person</w:t>
            </w:r>
            <w:r>
              <w:rPr>
                <w:rFonts w:ascii="Arial" w:hAnsi="Arial" w:cs="Arial"/>
                <w:sz w:val="20"/>
                <w:szCs w:val="20"/>
              </w:rPr>
              <w:t>’</w:t>
            </w:r>
            <w:r w:rsidRPr="00EF34F1">
              <w:rPr>
                <w:rFonts w:ascii="Arial" w:hAnsi="Arial" w:cs="Arial"/>
                <w:sz w:val="20"/>
                <w:szCs w:val="20"/>
              </w:rPr>
              <w:t>s nil</w:t>
            </w:r>
            <w:r>
              <w:rPr>
                <w:rFonts w:ascii="Arial" w:hAnsi="Arial" w:cs="Arial"/>
                <w:sz w:val="20"/>
                <w:szCs w:val="20"/>
              </w:rPr>
              <w:t>-</w:t>
            </w:r>
            <w:r w:rsidRPr="00EF34F1">
              <w:rPr>
                <w:rFonts w:ascii="Arial" w:hAnsi="Arial" w:cs="Arial"/>
                <w:sz w:val="20"/>
                <w:szCs w:val="20"/>
              </w:rPr>
              <w:t>rate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0A0D5F" w14:textId="6A10B4F2" w:rsidR="00E40280" w:rsidRPr="00212FF7" w:rsidRDefault="00E40280" w:rsidP="00E40280">
            <w:pPr>
              <w:jc w:val="right"/>
              <w:rPr>
                <w:rFonts w:ascii="Arial" w:hAnsi="Arial" w:cs="Arial"/>
                <w:sz w:val="20"/>
                <w:szCs w:val="20"/>
              </w:rPr>
            </w:pPr>
            <w:r w:rsidRPr="00212FF7">
              <w:rPr>
                <w:rFonts w:ascii="Arial" w:hAnsi="Arial" w:cs="Arial"/>
                <w:sz w:val="20"/>
                <w:szCs w:val="20"/>
              </w:rPr>
              <w:t>£1</w:t>
            </w:r>
            <w:r w:rsidR="00043E66">
              <w:rPr>
                <w:rFonts w:ascii="Arial" w:hAnsi="Arial" w:cs="Arial"/>
                <w:sz w:val="20"/>
                <w:szCs w:val="20"/>
              </w:rPr>
              <w:t>-</w:t>
            </w:r>
            <w:r w:rsidRPr="00212FF7">
              <w:rPr>
                <w:rFonts w:ascii="Arial" w:hAnsi="Arial" w:cs="Arial"/>
                <w:sz w:val="20"/>
                <w:szCs w:val="20"/>
              </w:rPr>
              <w:t xml:space="preserve"> £325,000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5AFC4A3" w14:textId="326F8B53" w:rsidR="00E40280" w:rsidRPr="00212FF7" w:rsidRDefault="00E40280" w:rsidP="00E40280">
            <w:pPr>
              <w:jc w:val="right"/>
              <w:rPr>
                <w:rFonts w:ascii="Arial" w:hAnsi="Arial" w:cs="Arial"/>
                <w:sz w:val="20"/>
                <w:szCs w:val="20"/>
              </w:rPr>
            </w:pPr>
            <w:r w:rsidRPr="00212FF7">
              <w:rPr>
                <w:rFonts w:ascii="Arial" w:hAnsi="Arial" w:cs="Arial"/>
                <w:sz w:val="20"/>
                <w:szCs w:val="20"/>
              </w:rPr>
              <w:t>£1</w:t>
            </w:r>
            <w:r w:rsidR="00043E66">
              <w:rPr>
                <w:rFonts w:ascii="Arial" w:hAnsi="Arial" w:cs="Arial"/>
                <w:sz w:val="20"/>
                <w:szCs w:val="20"/>
              </w:rPr>
              <w:t>-</w:t>
            </w:r>
            <w:r w:rsidRPr="00212FF7">
              <w:rPr>
                <w:rFonts w:ascii="Arial" w:hAnsi="Arial" w:cs="Arial"/>
                <w:sz w:val="20"/>
                <w:szCs w:val="20"/>
              </w:rPr>
              <w:t xml:space="preserve"> £325,000</w:t>
            </w:r>
          </w:p>
        </w:tc>
      </w:tr>
      <w:tr w:rsidR="00E40280" w:rsidRPr="00EF34F1" w14:paraId="58E41C0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5C4A62D" w14:textId="77777777" w:rsidR="00E40280" w:rsidRPr="00EF34F1" w:rsidRDefault="00E40280" w:rsidP="00E40280">
            <w:pPr>
              <w:rPr>
                <w:rFonts w:ascii="Arial" w:hAnsi="Arial" w:cs="Arial"/>
                <w:sz w:val="20"/>
                <w:szCs w:val="20"/>
              </w:rPr>
            </w:pPr>
            <w:r w:rsidRPr="00EF34F1">
              <w:rPr>
                <w:rFonts w:ascii="Arial" w:hAnsi="Arial" w:cs="Arial"/>
                <w:sz w:val="20"/>
                <w:szCs w:val="20"/>
              </w:rPr>
              <w:t>Single person</w:t>
            </w:r>
            <w:r>
              <w:rPr>
                <w:rFonts w:ascii="Arial" w:hAnsi="Arial" w:cs="Arial"/>
                <w:sz w:val="20"/>
                <w:szCs w:val="20"/>
              </w:rPr>
              <w:t>’</w:t>
            </w:r>
            <w:r w:rsidRPr="00EF34F1">
              <w:rPr>
                <w:rFonts w:ascii="Arial" w:hAnsi="Arial" w:cs="Arial"/>
                <w:sz w:val="20"/>
                <w:szCs w:val="20"/>
              </w:rPr>
              <w:t>s 40%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427CB5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over £325,000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5B1966A"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over £325,000</w:t>
            </w:r>
          </w:p>
        </w:tc>
      </w:tr>
      <w:tr w:rsidR="00E40280" w:rsidRPr="00EF34F1" w14:paraId="594D07F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2130E62" w14:textId="1CB60D28" w:rsidR="00E40280" w:rsidRPr="00EF34F1" w:rsidRDefault="00E40280" w:rsidP="00E40280">
            <w:pPr>
              <w:rPr>
                <w:rFonts w:ascii="Arial" w:hAnsi="Arial" w:cs="Arial"/>
                <w:sz w:val="20"/>
                <w:szCs w:val="20"/>
              </w:rPr>
            </w:pPr>
            <w:r w:rsidRPr="00EF34F1">
              <w:rPr>
                <w:rFonts w:ascii="Arial" w:hAnsi="Arial" w:cs="Arial"/>
                <w:sz w:val="20"/>
                <w:szCs w:val="20"/>
              </w:rPr>
              <w:t>Residence nil</w:t>
            </w:r>
            <w:r>
              <w:rPr>
                <w:rFonts w:ascii="Arial" w:hAnsi="Arial" w:cs="Arial"/>
                <w:sz w:val="20"/>
                <w:szCs w:val="20"/>
              </w:rPr>
              <w:t>-</w:t>
            </w:r>
            <w:r w:rsidRPr="00EF34F1">
              <w:rPr>
                <w:rFonts w:ascii="Arial" w:hAnsi="Arial" w:cs="Arial"/>
                <w:sz w:val="20"/>
                <w:szCs w:val="20"/>
              </w:rPr>
              <w:t xml:space="preserve">rate band (RNRB) – maximum </w:t>
            </w:r>
            <w:r>
              <w:rPr>
                <w:rFonts w:ascii="Arial" w:hAnsi="Arial" w:cs="Arial"/>
                <w:sz w:val="20"/>
                <w:szCs w:val="20"/>
              </w:rPr>
              <w:t>(</w:t>
            </w:r>
            <w:r w:rsidRPr="00EF34F1">
              <w:rPr>
                <w:rFonts w:ascii="Arial" w:hAnsi="Arial" w:cs="Arial"/>
                <w:sz w:val="20"/>
                <w:szCs w:val="20"/>
              </w:rPr>
              <w:t xml:space="preserve">note </w:t>
            </w:r>
            <w:r>
              <w:rPr>
                <w:rFonts w:ascii="Arial" w:hAnsi="Arial" w:cs="Arial"/>
                <w:sz w:val="20"/>
                <w:szCs w:val="20"/>
              </w:rPr>
              <w:t>18)</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01B8C0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£175,000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BD8053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£175,000</w:t>
            </w:r>
          </w:p>
        </w:tc>
      </w:tr>
      <w:tr w:rsidR="00E40280" w:rsidRPr="00EF34F1" w14:paraId="75BAE99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7B385C3C" w14:textId="5EF4E491" w:rsidR="00E40280" w:rsidRPr="00EF34F1" w:rsidRDefault="00E40280" w:rsidP="00E40280">
            <w:pPr>
              <w:rPr>
                <w:rFonts w:ascii="Arial" w:hAnsi="Arial" w:cs="Arial"/>
                <w:sz w:val="20"/>
                <w:szCs w:val="20"/>
              </w:rPr>
            </w:pPr>
            <w:r w:rsidRPr="00EF34F1">
              <w:rPr>
                <w:rFonts w:ascii="Arial" w:hAnsi="Arial" w:cs="Arial"/>
                <w:sz w:val="20"/>
                <w:szCs w:val="20"/>
              </w:rPr>
              <w:t xml:space="preserve">Reduced rate </w:t>
            </w:r>
            <w:r>
              <w:rPr>
                <w:rFonts w:ascii="Arial" w:hAnsi="Arial" w:cs="Arial"/>
                <w:sz w:val="20"/>
                <w:szCs w:val="20"/>
              </w:rPr>
              <w:t>(</w:t>
            </w:r>
            <w:r w:rsidRPr="00EF34F1">
              <w:rPr>
                <w:rFonts w:ascii="Arial" w:hAnsi="Arial" w:cs="Arial"/>
                <w:sz w:val="20"/>
                <w:szCs w:val="20"/>
              </w:rPr>
              <w:t xml:space="preserve">note </w:t>
            </w:r>
            <w:r>
              <w:rPr>
                <w:rFonts w:ascii="Arial" w:hAnsi="Arial" w:cs="Arial"/>
                <w:sz w:val="20"/>
                <w:szCs w:val="20"/>
              </w:rPr>
              <w:t>19)</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C37562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1F0961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36%</w:t>
            </w:r>
          </w:p>
        </w:tc>
      </w:tr>
      <w:tr w:rsidR="00E40280" w:rsidRPr="00EF34F1" w14:paraId="3BF4690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EA01BA7" w14:textId="77777777" w:rsidR="00E40280" w:rsidRPr="00EF34F1" w:rsidRDefault="00E40280" w:rsidP="00E40280">
            <w:pPr>
              <w:rPr>
                <w:rFonts w:ascii="Arial" w:hAnsi="Arial" w:cs="Arial"/>
                <w:sz w:val="20"/>
                <w:szCs w:val="20"/>
              </w:rPr>
            </w:pPr>
            <w:r w:rsidRPr="00EF34F1">
              <w:rPr>
                <w:rFonts w:ascii="Arial" w:hAnsi="Arial" w:cs="Arial"/>
                <w:sz w:val="20"/>
                <w:szCs w:val="20"/>
              </w:rPr>
              <w:t xml:space="preserve">IHT </w:t>
            </w:r>
            <w:r>
              <w:rPr>
                <w:rFonts w:ascii="Arial" w:hAnsi="Arial" w:cs="Arial"/>
                <w:sz w:val="20"/>
                <w:szCs w:val="20"/>
              </w:rPr>
              <w:t>r</w:t>
            </w:r>
            <w:r w:rsidRPr="00EF34F1">
              <w:rPr>
                <w:rFonts w:ascii="Arial" w:hAnsi="Arial" w:cs="Arial"/>
                <w:sz w:val="20"/>
                <w:szCs w:val="20"/>
              </w:rPr>
              <w:t>ate (for chargeable lifetime transfers)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F518864"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5EA636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20%</w:t>
            </w:r>
          </w:p>
        </w:tc>
      </w:tr>
      <w:tr w:rsidR="00E40280" w:rsidRPr="00EF34F1" w14:paraId="4AED4B8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A6DAF5F" w14:textId="77777777" w:rsidR="00E40280" w:rsidRPr="00EF34F1" w:rsidRDefault="00E40280" w:rsidP="00E40280">
            <w:pPr>
              <w:rPr>
                <w:rFonts w:ascii="Arial" w:hAnsi="Arial" w:cs="Arial"/>
                <w:sz w:val="20"/>
                <w:szCs w:val="20"/>
              </w:rPr>
            </w:pPr>
            <w:r w:rsidRPr="00EF34F1">
              <w:rPr>
                <w:rFonts w:ascii="Arial" w:hAnsi="Arial" w:cs="Arial"/>
                <w:sz w:val="20"/>
                <w:szCs w:val="20"/>
              </w:rPr>
              <w:t>Married couples or civil partnerships allowance nil</w:t>
            </w:r>
            <w:r>
              <w:rPr>
                <w:rFonts w:ascii="Arial" w:hAnsi="Arial" w:cs="Arial"/>
                <w:sz w:val="20"/>
                <w:szCs w:val="20"/>
              </w:rPr>
              <w:t>-</w:t>
            </w:r>
            <w:r w:rsidRPr="00EF34F1">
              <w:rPr>
                <w:rFonts w:ascii="Arial" w:hAnsi="Arial" w:cs="Arial"/>
                <w:sz w:val="20"/>
                <w:szCs w:val="20"/>
              </w:rPr>
              <w:t>rate band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CED9F16"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£650,000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2FCE51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£650,000</w:t>
            </w:r>
          </w:p>
        </w:tc>
      </w:tr>
      <w:tr w:rsidR="00E40280" w:rsidRPr="00EF34F1" w14:paraId="1E48DCE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C76EE95" w14:textId="77777777" w:rsidR="00E40280" w:rsidRPr="00EF34F1" w:rsidRDefault="00E40280" w:rsidP="00E40280">
            <w:pPr>
              <w:rPr>
                <w:rFonts w:ascii="Arial" w:hAnsi="Arial" w:cs="Arial"/>
                <w:sz w:val="20"/>
                <w:szCs w:val="20"/>
              </w:rPr>
            </w:pPr>
            <w:r w:rsidRPr="00EF34F1">
              <w:rPr>
                <w:rFonts w:ascii="Arial" w:hAnsi="Arial" w:cs="Arial"/>
                <w:sz w:val="20"/>
                <w:szCs w:val="20"/>
              </w:rPr>
              <w:t>Gifts to charities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9AB859F"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Exempt</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4320724"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Exempt</w:t>
            </w:r>
          </w:p>
        </w:tc>
      </w:tr>
      <w:tr w:rsidR="00E40280" w:rsidRPr="00EF34F1" w14:paraId="6AD94CA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C4E4D52" w14:textId="77777777" w:rsidR="00E40280" w:rsidRPr="00EF34F1" w:rsidRDefault="00E40280" w:rsidP="00E40280">
            <w:pPr>
              <w:rPr>
                <w:rFonts w:ascii="Arial" w:hAnsi="Arial" w:cs="Arial"/>
                <w:sz w:val="20"/>
                <w:szCs w:val="20"/>
              </w:rPr>
            </w:pPr>
            <w:r w:rsidRPr="00EF34F1">
              <w:rPr>
                <w:rFonts w:ascii="Arial" w:hAnsi="Arial" w:cs="Arial"/>
                <w:sz w:val="20"/>
                <w:szCs w:val="20"/>
              </w:rPr>
              <w:t>Small gifts to same person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2F93BBA"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E7508A3"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w:t>
            </w:r>
          </w:p>
        </w:tc>
      </w:tr>
      <w:tr w:rsidR="00E40280" w:rsidRPr="00EF34F1" w14:paraId="255DB42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D5E6AD3" w14:textId="77777777" w:rsidR="00E40280" w:rsidRPr="00EF34F1" w:rsidRDefault="00E40280" w:rsidP="00E40280">
            <w:pPr>
              <w:rPr>
                <w:rFonts w:ascii="Arial" w:hAnsi="Arial" w:cs="Arial"/>
                <w:sz w:val="20"/>
                <w:szCs w:val="20"/>
              </w:rPr>
            </w:pPr>
            <w:r w:rsidRPr="00EF34F1">
              <w:rPr>
                <w:rFonts w:ascii="Arial" w:hAnsi="Arial" w:cs="Arial"/>
                <w:sz w:val="20"/>
                <w:szCs w:val="20"/>
              </w:rPr>
              <w:t>General gifts</w:t>
            </w:r>
            <w:r>
              <w:rPr>
                <w:rFonts w:ascii="Arial" w:hAnsi="Arial" w:cs="Arial"/>
                <w:sz w:val="20"/>
                <w:szCs w:val="20"/>
              </w:rPr>
              <w:t xml:space="preserve"> –</w:t>
            </w:r>
            <w:r w:rsidRPr="00EF34F1">
              <w:rPr>
                <w:rFonts w:ascii="Arial" w:hAnsi="Arial" w:cs="Arial"/>
                <w:sz w:val="20"/>
                <w:szCs w:val="20"/>
              </w:rPr>
              <w:t xml:space="preserve"> annual exemption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A34F77F"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D078A9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£3,000</w:t>
            </w:r>
          </w:p>
        </w:tc>
      </w:tr>
      <w:tr w:rsidR="00E40280" w:rsidRPr="00EF34F1" w14:paraId="1A0A289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6D60807" w14:textId="212A2043"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children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BFEBAAD"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64C5949"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£5,000</w:t>
            </w:r>
          </w:p>
        </w:tc>
      </w:tr>
      <w:tr w:rsidR="00E40280" w:rsidRPr="00EF34F1" w14:paraId="5DFD674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12C36E31" w14:textId="4EA470ED"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g</w:t>
            </w:r>
            <w:r w:rsidRPr="00EF34F1">
              <w:rPr>
                <w:rFonts w:ascii="Arial" w:hAnsi="Arial" w:cs="Arial"/>
                <w:sz w:val="20"/>
                <w:szCs w:val="20"/>
              </w:rPr>
              <w:t>rand</w:t>
            </w:r>
            <w:r>
              <w:rPr>
                <w:rFonts w:ascii="Arial" w:hAnsi="Arial" w:cs="Arial"/>
                <w:sz w:val="20"/>
                <w:szCs w:val="20"/>
              </w:rPr>
              <w:t xml:space="preserve">children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E66F8A8"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F5E4155"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£2,500</w:t>
            </w:r>
          </w:p>
        </w:tc>
      </w:tr>
      <w:tr w:rsidR="00E40280" w:rsidRPr="00EF34F1" w14:paraId="2269ADF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hideMark/>
          </w:tcPr>
          <w:p w14:paraId="5D6F929D" w14:textId="2F390663" w:rsidR="00E40280" w:rsidRPr="00EF34F1" w:rsidRDefault="00E40280" w:rsidP="00E40280">
            <w:pPr>
              <w:rPr>
                <w:rFonts w:ascii="Arial" w:hAnsi="Arial" w:cs="Arial"/>
                <w:sz w:val="20"/>
                <w:szCs w:val="20"/>
              </w:rPr>
            </w:pPr>
            <w:r w:rsidRPr="00EF34F1">
              <w:rPr>
                <w:rFonts w:ascii="Arial" w:hAnsi="Arial" w:cs="Arial"/>
                <w:sz w:val="20"/>
                <w:szCs w:val="20"/>
              </w:rPr>
              <w:t xml:space="preserve">Wedding gifts </w:t>
            </w:r>
            <w:r>
              <w:rPr>
                <w:rFonts w:ascii="Arial" w:hAnsi="Arial" w:cs="Arial"/>
                <w:sz w:val="20"/>
                <w:szCs w:val="20"/>
              </w:rPr>
              <w:t>to any o</w:t>
            </w:r>
            <w:r w:rsidRPr="00EF34F1">
              <w:rPr>
                <w:rFonts w:ascii="Arial" w:hAnsi="Arial" w:cs="Arial"/>
                <w:sz w:val="20"/>
                <w:szCs w:val="20"/>
              </w:rPr>
              <w:t>ther person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C5874FE"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8CF397" w14:textId="77777777" w:rsidR="00E40280" w:rsidRPr="00212FF7" w:rsidRDefault="00E40280" w:rsidP="00E40280">
            <w:pPr>
              <w:jc w:val="right"/>
              <w:rPr>
                <w:rFonts w:ascii="Arial" w:hAnsi="Arial" w:cs="Arial"/>
                <w:sz w:val="20"/>
                <w:szCs w:val="20"/>
              </w:rPr>
            </w:pPr>
            <w:r w:rsidRPr="00212FF7">
              <w:rPr>
                <w:rFonts w:ascii="Arial" w:hAnsi="Arial" w:cs="Arial"/>
                <w:sz w:val="20"/>
                <w:szCs w:val="20"/>
              </w:rPr>
              <w:t>£1,000</w:t>
            </w:r>
          </w:p>
        </w:tc>
      </w:tr>
      <w:tr w:rsidR="00E40280" w:rsidRPr="00EF34F1" w14:paraId="3BE0AEC0"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4B449D59" w14:textId="7ADC8CB6" w:rsidR="00E40280" w:rsidRPr="00781552" w:rsidRDefault="00E40280" w:rsidP="00E40280">
            <w:pPr>
              <w:rPr>
                <w:rFonts w:ascii="Arial" w:hAnsi="Arial" w:cs="Arial"/>
                <w:i/>
                <w:sz w:val="18"/>
                <w:szCs w:val="18"/>
              </w:rPr>
            </w:pPr>
            <w:r w:rsidRPr="00781552">
              <w:rPr>
                <w:rFonts w:ascii="Arial" w:hAnsi="Arial" w:cs="Arial"/>
                <w:i/>
                <w:sz w:val="18"/>
                <w:szCs w:val="18"/>
              </w:rPr>
              <w:t xml:space="preserve">Note 18: </w:t>
            </w:r>
            <w:r w:rsidR="00A76F18">
              <w:rPr>
                <w:rFonts w:ascii="Arial" w:hAnsi="Arial" w:cs="Arial"/>
                <w:i/>
                <w:sz w:val="18"/>
                <w:szCs w:val="18"/>
              </w:rPr>
              <w:t>t</w:t>
            </w:r>
            <w:r w:rsidRPr="00781552">
              <w:rPr>
                <w:rFonts w:ascii="Arial" w:hAnsi="Arial" w:cs="Arial"/>
                <w:i/>
                <w:sz w:val="18"/>
                <w:szCs w:val="18"/>
              </w:rPr>
              <w:t>he RNRB is available in respect of a main residence given away to children (including adopted, foster or stepchildren). Any unused nil-rate band transfers to the deceased’s spouse or civil partner, even where death predates the availability of the additional threshold. It applies in addition to the existing nil-rate band (NRB) or threshold (currently £325,000) if the individual and estate meet the qualifying conditions.</w:t>
            </w:r>
          </w:p>
          <w:p w14:paraId="22554264" w14:textId="007E89E8" w:rsidR="00E40280" w:rsidRPr="00B3278B" w:rsidRDefault="00E40280" w:rsidP="00E40280">
            <w:pPr>
              <w:rPr>
                <w:rFonts w:ascii="Arial" w:hAnsi="Arial" w:cs="Arial"/>
                <w:i/>
                <w:sz w:val="20"/>
                <w:szCs w:val="20"/>
              </w:rPr>
            </w:pPr>
            <w:r w:rsidRPr="00781552">
              <w:rPr>
                <w:rFonts w:ascii="Arial" w:hAnsi="Arial" w:cs="Arial"/>
                <w:i/>
                <w:sz w:val="18"/>
                <w:szCs w:val="18"/>
              </w:rPr>
              <w:t xml:space="preserve">Note 19: </w:t>
            </w:r>
            <w:r w:rsidR="00A76F18">
              <w:rPr>
                <w:rFonts w:ascii="Arial" w:hAnsi="Arial" w:cs="Arial"/>
                <w:i/>
                <w:sz w:val="18"/>
                <w:szCs w:val="18"/>
              </w:rPr>
              <w:t>t</w:t>
            </w:r>
            <w:r w:rsidRPr="00781552">
              <w:rPr>
                <w:rFonts w:ascii="Arial" w:hAnsi="Arial" w:cs="Arial"/>
                <w:i/>
                <w:sz w:val="18"/>
                <w:szCs w:val="18"/>
              </w:rPr>
              <w:t>he estate can pay inheritance tax at a reduced rate of 36% on some assets if you leave 10% or more of the net value to charity in your will.</w:t>
            </w:r>
          </w:p>
        </w:tc>
      </w:tr>
      <w:tr w:rsidR="00E40280" w:rsidRPr="00EF34F1" w14:paraId="0D48583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359CCCF9" w14:textId="642EEA94" w:rsidR="00E40280" w:rsidRPr="004D3696" w:rsidRDefault="00E40280" w:rsidP="00E40280">
            <w:pPr>
              <w:rPr>
                <w:rFonts w:ascii="Arial" w:hAnsi="Arial" w:cs="Arial"/>
                <w:b/>
                <w:bCs/>
                <w:sz w:val="20"/>
                <w:szCs w:val="20"/>
              </w:rPr>
            </w:pPr>
            <w:r w:rsidRPr="004D3696">
              <w:rPr>
                <w:rFonts w:ascii="Arial" w:hAnsi="Arial" w:cs="Arial"/>
                <w:b/>
                <w:bCs/>
                <w:sz w:val="20"/>
                <w:szCs w:val="20"/>
              </w:rPr>
              <w:t xml:space="preserve">Business </w:t>
            </w:r>
            <w:r w:rsidR="00A76F18">
              <w:rPr>
                <w:rFonts w:ascii="Arial" w:hAnsi="Arial" w:cs="Arial"/>
                <w:b/>
                <w:bCs/>
                <w:sz w:val="20"/>
                <w:szCs w:val="20"/>
              </w:rPr>
              <w:t>p</w:t>
            </w:r>
            <w:r w:rsidRPr="004D3696">
              <w:rPr>
                <w:rFonts w:ascii="Arial" w:hAnsi="Arial" w:cs="Arial"/>
                <w:b/>
                <w:bCs/>
                <w:sz w:val="20"/>
                <w:szCs w:val="20"/>
              </w:rPr>
              <w:t xml:space="preserve">roperty </w:t>
            </w:r>
            <w:r w:rsidR="00A76F18">
              <w:rPr>
                <w:rFonts w:ascii="Arial" w:hAnsi="Arial" w:cs="Arial"/>
                <w:b/>
                <w:bCs/>
                <w:sz w:val="20"/>
                <w:szCs w:val="20"/>
              </w:rPr>
              <w:t>r</w:t>
            </w:r>
            <w:r w:rsidRPr="004D3696">
              <w:rPr>
                <w:rFonts w:ascii="Arial" w:hAnsi="Arial" w:cs="Arial"/>
                <w:b/>
                <w:bCs/>
                <w:sz w:val="20"/>
                <w:szCs w:val="20"/>
              </w:rPr>
              <w:t>elief</w:t>
            </w:r>
          </w:p>
        </w:tc>
        <w:tc>
          <w:tcPr>
            <w:tcW w:w="1842"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5B704266" w14:textId="3EEBA0E1" w:rsidR="00E40280" w:rsidRPr="00EF34F1" w:rsidRDefault="00E40280" w:rsidP="00E40280">
            <w:pPr>
              <w:jc w:val="right"/>
              <w:rPr>
                <w:rFonts w:ascii="Arial" w:hAnsi="Arial" w:cs="Arial"/>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hideMark/>
          </w:tcPr>
          <w:p w14:paraId="7CB02A01" w14:textId="0D8E744E" w:rsidR="00E40280" w:rsidRPr="00EF34F1" w:rsidRDefault="00E40280" w:rsidP="00E40280">
            <w:pPr>
              <w:jc w:val="right"/>
              <w:rPr>
                <w:rFonts w:ascii="Arial" w:hAnsi="Arial" w:cs="Arial"/>
                <w:sz w:val="20"/>
                <w:szCs w:val="20"/>
              </w:rPr>
            </w:pPr>
            <w:r>
              <w:rPr>
                <w:rFonts w:ascii="Arial" w:hAnsi="Arial" w:cs="Arial"/>
                <w:b/>
                <w:bCs/>
                <w:sz w:val="24"/>
                <w:szCs w:val="24"/>
              </w:rPr>
              <w:t>2021/22</w:t>
            </w:r>
          </w:p>
        </w:tc>
      </w:tr>
      <w:tr w:rsidR="00E40280" w:rsidRPr="00EF34F1" w14:paraId="6B78EDD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B6DB09E" w14:textId="085CB0D5" w:rsidR="00E40280" w:rsidRPr="00EF34F1" w:rsidRDefault="00E40280" w:rsidP="00E40280">
            <w:pPr>
              <w:rPr>
                <w:rFonts w:ascii="Arial" w:hAnsi="Arial" w:cs="Arial"/>
                <w:sz w:val="20"/>
                <w:szCs w:val="20"/>
              </w:rPr>
            </w:pPr>
            <w:r w:rsidRPr="00EF34F1">
              <w:rPr>
                <w:rFonts w:ascii="Arial" w:hAnsi="Arial" w:cs="Arial"/>
                <w:sz w:val="20"/>
                <w:szCs w:val="20"/>
              </w:rPr>
              <w:t>Business or interest in a business and transfer</w:t>
            </w:r>
            <w:r>
              <w:rPr>
                <w:rFonts w:ascii="Arial" w:hAnsi="Arial" w:cs="Arial"/>
                <w:sz w:val="20"/>
                <w:szCs w:val="20"/>
              </w:rPr>
              <w:t>s</w:t>
            </w:r>
            <w:r w:rsidRPr="00EF34F1">
              <w:rPr>
                <w:rFonts w:ascii="Arial" w:hAnsi="Arial" w:cs="Arial"/>
                <w:sz w:val="20"/>
                <w:szCs w:val="20"/>
              </w:rPr>
              <w:t xml:space="preserve"> </w:t>
            </w:r>
            <w:r>
              <w:rPr>
                <w:rFonts w:ascii="Arial" w:hAnsi="Arial" w:cs="Arial"/>
                <w:sz w:val="20"/>
                <w:szCs w:val="20"/>
              </w:rPr>
              <w:t>o</w:t>
            </w:r>
            <w:r w:rsidRPr="00EF34F1">
              <w:rPr>
                <w:rFonts w:ascii="Arial" w:hAnsi="Arial" w:cs="Arial"/>
                <w:sz w:val="20"/>
                <w:szCs w:val="20"/>
              </w:rPr>
              <w:t>f unquoted shareholdings</w:t>
            </w:r>
          </w:p>
        </w:tc>
        <w:tc>
          <w:tcPr>
            <w:tcW w:w="1842" w:type="dxa"/>
            <w:gridSpan w:val="4"/>
            <w:tcBorders>
              <w:top w:val="single" w:sz="4" w:space="0" w:color="auto"/>
              <w:left w:val="single" w:sz="4" w:space="0" w:color="auto"/>
              <w:bottom w:val="single" w:sz="4" w:space="0" w:color="auto"/>
              <w:right w:val="single" w:sz="4" w:space="0" w:color="auto"/>
            </w:tcBorders>
            <w:hideMark/>
          </w:tcPr>
          <w:p w14:paraId="2A1D676E"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100%</w:t>
            </w:r>
          </w:p>
        </w:tc>
        <w:tc>
          <w:tcPr>
            <w:tcW w:w="1705" w:type="dxa"/>
            <w:gridSpan w:val="2"/>
            <w:tcBorders>
              <w:top w:val="single" w:sz="4" w:space="0" w:color="auto"/>
              <w:left w:val="single" w:sz="4" w:space="0" w:color="auto"/>
              <w:bottom w:val="single" w:sz="4" w:space="0" w:color="auto"/>
              <w:right w:val="single" w:sz="4" w:space="0" w:color="auto"/>
            </w:tcBorders>
            <w:hideMark/>
          </w:tcPr>
          <w:p w14:paraId="4515AC1F"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w:t>
            </w:r>
            <w:r w:rsidRPr="00CA15BC">
              <w:rPr>
                <w:rFonts w:ascii="Arial" w:hAnsi="Arial" w:cs="Arial"/>
                <w:sz w:val="20"/>
                <w:szCs w:val="20"/>
              </w:rPr>
              <w:t>100%</w:t>
            </w:r>
          </w:p>
        </w:tc>
      </w:tr>
      <w:tr w:rsidR="00E40280" w:rsidRPr="00EF34F1" w14:paraId="44724681"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9491D03" w14:textId="0BE89C45" w:rsidR="00E40280" w:rsidRPr="00EF34F1" w:rsidRDefault="00E40280" w:rsidP="00E40280">
            <w:pPr>
              <w:rPr>
                <w:rFonts w:ascii="Arial" w:hAnsi="Arial" w:cs="Arial"/>
                <w:sz w:val="20"/>
                <w:szCs w:val="20"/>
              </w:rPr>
            </w:pPr>
            <w:r w:rsidRPr="00EF34F1">
              <w:rPr>
                <w:rFonts w:ascii="Arial" w:hAnsi="Arial" w:cs="Arial"/>
                <w:sz w:val="20"/>
                <w:szCs w:val="20"/>
              </w:rPr>
              <w:t> </w:t>
            </w:r>
            <w:r w:rsidRPr="00EF34F1">
              <w:rPr>
                <w:rFonts w:ascii="Arial" w:hAnsi="Arial" w:cs="Arial"/>
                <w:b/>
                <w:bCs/>
                <w:sz w:val="20"/>
                <w:szCs w:val="20"/>
              </w:rPr>
              <w:t>Taxation of trusts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EAAFB8" w14:textId="224C7A13" w:rsidR="00E40280" w:rsidRPr="00EF34F1" w:rsidRDefault="00E40280" w:rsidP="00E40280">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A63DF16" w14:textId="6E5986AE" w:rsidR="00E40280" w:rsidRPr="00EF34F1" w:rsidRDefault="00E40280" w:rsidP="00E40280">
            <w:pPr>
              <w:jc w:val="right"/>
              <w:rPr>
                <w:rFonts w:ascii="Arial" w:hAnsi="Arial" w:cs="Arial"/>
                <w:b/>
                <w:bCs/>
                <w:sz w:val="24"/>
                <w:szCs w:val="24"/>
              </w:rPr>
            </w:pPr>
            <w:r>
              <w:rPr>
                <w:rFonts w:ascii="Arial" w:hAnsi="Arial" w:cs="Arial"/>
                <w:b/>
                <w:bCs/>
                <w:sz w:val="24"/>
                <w:szCs w:val="24"/>
              </w:rPr>
              <w:t>2021/22</w:t>
            </w:r>
          </w:p>
        </w:tc>
      </w:tr>
      <w:tr w:rsidR="00E40280" w:rsidRPr="00EF34F1" w14:paraId="4170E54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441709" w14:textId="77777777" w:rsidR="00E40280" w:rsidRPr="003754B2" w:rsidRDefault="00E40280" w:rsidP="00E40280">
            <w:pPr>
              <w:rPr>
                <w:rFonts w:ascii="Arial" w:hAnsi="Arial" w:cs="Arial"/>
                <w:i/>
                <w:iCs/>
                <w:sz w:val="20"/>
                <w:szCs w:val="20"/>
              </w:rPr>
            </w:pPr>
            <w:r w:rsidRPr="003754B2">
              <w:rPr>
                <w:rFonts w:ascii="Arial" w:hAnsi="Arial" w:cs="Arial"/>
                <w:i/>
                <w:iCs/>
                <w:sz w:val="20"/>
                <w:szCs w:val="20"/>
              </w:rPr>
              <w:t>Accumulation or discretionary trusts: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634A269" w14:textId="77777777" w:rsidR="00E40280" w:rsidRPr="006B6A01" w:rsidRDefault="00E40280" w:rsidP="00E40280">
            <w:pPr>
              <w:jc w:val="right"/>
              <w:rPr>
                <w:rFonts w:ascii="Arial" w:hAnsi="Arial" w:cs="Arial"/>
                <w:sz w:val="20"/>
                <w:szCs w:val="20"/>
                <w:highlight w:val="cyan"/>
              </w:rPr>
            </w:pPr>
            <w:r w:rsidRPr="00A92F56">
              <w:rPr>
                <w:rFonts w:ascii="Arial" w:hAnsi="Arial" w:cs="Arial"/>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C4796CC" w14:textId="77777777" w:rsidR="00E40280" w:rsidRPr="00EF34F1" w:rsidRDefault="00E40280" w:rsidP="00E40280">
            <w:pPr>
              <w:jc w:val="right"/>
              <w:rPr>
                <w:rFonts w:ascii="Arial" w:hAnsi="Arial" w:cs="Arial"/>
                <w:sz w:val="20"/>
                <w:szCs w:val="20"/>
              </w:rPr>
            </w:pPr>
            <w:r w:rsidRPr="00EF34F1">
              <w:rPr>
                <w:rFonts w:ascii="Arial" w:hAnsi="Arial" w:cs="Arial"/>
                <w:sz w:val="20"/>
                <w:szCs w:val="20"/>
              </w:rPr>
              <w:t> </w:t>
            </w:r>
          </w:p>
        </w:tc>
      </w:tr>
      <w:tr w:rsidR="00E40280" w:rsidRPr="00EF34F1" w14:paraId="608FEA3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319A8F8" w14:textId="4FA6B1AB" w:rsidR="00E40280" w:rsidRPr="00A01088" w:rsidRDefault="00E40280" w:rsidP="00E40280">
            <w:pPr>
              <w:rPr>
                <w:rFonts w:ascii="Arial" w:hAnsi="Arial" w:cs="Arial"/>
                <w:sz w:val="20"/>
                <w:szCs w:val="20"/>
              </w:rPr>
            </w:pPr>
            <w:r w:rsidRPr="00A01088">
              <w:rPr>
                <w:rFonts w:ascii="Arial" w:hAnsi="Arial" w:cs="Arial"/>
                <w:sz w:val="20"/>
                <w:szCs w:val="20"/>
              </w:rPr>
              <w:t>Trust income up to £1,000 – dividend type income (note 20)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A73FE73" w14:textId="44FA1849" w:rsidR="00E40280" w:rsidRPr="00A01088" w:rsidRDefault="00E40280" w:rsidP="00E40280">
            <w:pPr>
              <w:jc w:val="right"/>
              <w:rPr>
                <w:rFonts w:ascii="Arial" w:hAnsi="Arial" w:cs="Arial"/>
                <w:sz w:val="20"/>
                <w:szCs w:val="20"/>
              </w:rPr>
            </w:pPr>
            <w:r w:rsidRPr="00A01088">
              <w:rPr>
                <w:rFonts w:ascii="Arial" w:hAnsi="Arial" w:cs="Arial"/>
                <w:sz w:val="20"/>
                <w:szCs w:val="20"/>
              </w:rPr>
              <w:t>8.75%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EF538C6"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7.50%</w:t>
            </w:r>
          </w:p>
        </w:tc>
      </w:tr>
      <w:tr w:rsidR="00E40280" w:rsidRPr="00EF34F1" w14:paraId="376E46C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C18CAC6" w14:textId="77777777" w:rsidR="00E40280" w:rsidRPr="00A01088" w:rsidRDefault="00E40280" w:rsidP="00E40280">
            <w:pPr>
              <w:rPr>
                <w:rFonts w:ascii="Arial" w:hAnsi="Arial" w:cs="Arial"/>
                <w:sz w:val="20"/>
                <w:szCs w:val="20"/>
              </w:rPr>
            </w:pPr>
            <w:r w:rsidRPr="00A01088">
              <w:rPr>
                <w:rFonts w:ascii="Arial" w:hAnsi="Arial" w:cs="Arial"/>
                <w:sz w:val="20"/>
                <w:szCs w:val="20"/>
              </w:rPr>
              <w:lastRenderedPageBreak/>
              <w:t>Trust income up to £1,000 – 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E27C767"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7197A1B"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20%</w:t>
            </w:r>
          </w:p>
        </w:tc>
      </w:tr>
      <w:tr w:rsidR="00E40280" w:rsidRPr="00EF34F1" w14:paraId="4C5D77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C9E52DB" w14:textId="0B538179" w:rsidR="00E40280" w:rsidRPr="00A01088" w:rsidRDefault="00E40280" w:rsidP="00E40280">
            <w:pPr>
              <w:rPr>
                <w:rFonts w:ascii="Arial" w:hAnsi="Arial" w:cs="Arial"/>
                <w:sz w:val="20"/>
                <w:szCs w:val="20"/>
              </w:rPr>
            </w:pPr>
            <w:r w:rsidRPr="00A01088">
              <w:rPr>
                <w:rFonts w:ascii="Arial" w:hAnsi="Arial" w:cs="Arial"/>
                <w:sz w:val="20"/>
                <w:szCs w:val="20"/>
              </w:rPr>
              <w:t>Trust income over £1,000 – dividend type income (note 20)</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DD5A21" w14:textId="5DCF6EBC" w:rsidR="00E40280" w:rsidRPr="00A01088" w:rsidRDefault="00E40280" w:rsidP="00E40280">
            <w:pPr>
              <w:jc w:val="right"/>
              <w:rPr>
                <w:rFonts w:ascii="Arial" w:hAnsi="Arial" w:cs="Arial"/>
                <w:sz w:val="20"/>
                <w:szCs w:val="20"/>
              </w:rPr>
            </w:pPr>
            <w:r w:rsidRPr="00A01088">
              <w:rPr>
                <w:rFonts w:ascii="Arial" w:hAnsi="Arial" w:cs="Arial"/>
                <w:sz w:val="20"/>
                <w:szCs w:val="20"/>
              </w:rPr>
              <w:t>39.35%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6D74ACD"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38.10%</w:t>
            </w:r>
          </w:p>
        </w:tc>
      </w:tr>
      <w:tr w:rsidR="00E40280" w:rsidRPr="00EF34F1" w14:paraId="6DEF161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8C83840" w14:textId="77777777" w:rsidR="00E40280" w:rsidRPr="00A01088" w:rsidRDefault="00E40280" w:rsidP="00E40280">
            <w:pPr>
              <w:rPr>
                <w:rFonts w:ascii="Arial" w:hAnsi="Arial" w:cs="Arial"/>
                <w:sz w:val="20"/>
                <w:szCs w:val="20"/>
              </w:rPr>
            </w:pPr>
            <w:r w:rsidRPr="00A01088">
              <w:rPr>
                <w:rFonts w:ascii="Arial" w:hAnsi="Arial" w:cs="Arial"/>
                <w:sz w:val="20"/>
                <w:szCs w:val="20"/>
              </w:rPr>
              <w:t>Trust income over £1,000 – 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422C2DE"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45%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49AB3C2"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45%</w:t>
            </w:r>
          </w:p>
        </w:tc>
      </w:tr>
      <w:tr w:rsidR="00E40280" w:rsidRPr="00EF34F1" w14:paraId="2407A02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82F002B" w14:textId="77777777" w:rsidR="00E40280" w:rsidRPr="00A01088" w:rsidRDefault="00E40280" w:rsidP="00E40280">
            <w:pPr>
              <w:rPr>
                <w:rFonts w:ascii="Arial" w:hAnsi="Arial" w:cs="Arial"/>
                <w:i/>
                <w:iCs/>
                <w:sz w:val="20"/>
                <w:szCs w:val="20"/>
              </w:rPr>
            </w:pPr>
            <w:r w:rsidRPr="00A01088">
              <w:rPr>
                <w:rFonts w:ascii="Arial" w:hAnsi="Arial" w:cs="Arial"/>
                <w:i/>
                <w:iCs/>
                <w:sz w:val="20"/>
                <w:szCs w:val="20"/>
              </w:rPr>
              <w:t xml:space="preserve">Interest in possession trusts: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E2631B0"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A4CEC06"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 </w:t>
            </w:r>
          </w:p>
        </w:tc>
      </w:tr>
      <w:tr w:rsidR="00E40280" w:rsidRPr="00EF34F1" w14:paraId="034C11A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3971F27" w14:textId="16F8F97D" w:rsidR="00E40280" w:rsidRPr="00A01088" w:rsidRDefault="00E40280" w:rsidP="00E40280">
            <w:pPr>
              <w:rPr>
                <w:rFonts w:ascii="Arial" w:hAnsi="Arial" w:cs="Arial"/>
                <w:sz w:val="20"/>
                <w:szCs w:val="20"/>
              </w:rPr>
            </w:pPr>
            <w:r w:rsidRPr="00A01088">
              <w:rPr>
                <w:rFonts w:ascii="Arial" w:hAnsi="Arial" w:cs="Arial"/>
                <w:sz w:val="20"/>
                <w:szCs w:val="20"/>
              </w:rPr>
              <w:t>Dividend</w:t>
            </w:r>
            <w:r w:rsidR="0012281F" w:rsidRPr="00A01088">
              <w:rPr>
                <w:rFonts w:ascii="Arial" w:hAnsi="Arial" w:cs="Arial"/>
                <w:sz w:val="20"/>
                <w:szCs w:val="20"/>
              </w:rPr>
              <w:t>-</w:t>
            </w:r>
            <w:r w:rsidRPr="00A01088">
              <w:rPr>
                <w:rFonts w:ascii="Arial" w:hAnsi="Arial" w:cs="Arial"/>
                <w:sz w:val="20"/>
                <w:szCs w:val="20"/>
              </w:rPr>
              <w:t>type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792FD19" w14:textId="09677377" w:rsidR="00E40280" w:rsidRPr="00A01088" w:rsidRDefault="00E40280" w:rsidP="00E40280">
            <w:pPr>
              <w:jc w:val="right"/>
              <w:rPr>
                <w:rFonts w:ascii="Arial" w:hAnsi="Arial" w:cs="Arial"/>
                <w:sz w:val="20"/>
                <w:szCs w:val="20"/>
              </w:rPr>
            </w:pPr>
            <w:r w:rsidRPr="00A01088">
              <w:rPr>
                <w:rFonts w:ascii="Arial" w:hAnsi="Arial" w:cs="Arial"/>
                <w:sz w:val="20"/>
                <w:szCs w:val="20"/>
              </w:rPr>
              <w:t>8.75%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D04916F"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7.50%</w:t>
            </w:r>
          </w:p>
        </w:tc>
      </w:tr>
      <w:tr w:rsidR="00E40280" w:rsidRPr="00EF34F1" w14:paraId="027C1E8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4D6A8A" w14:textId="77777777" w:rsidR="00E40280" w:rsidRPr="00A01088" w:rsidRDefault="00E40280" w:rsidP="00E40280">
            <w:pPr>
              <w:rPr>
                <w:rFonts w:ascii="Arial" w:hAnsi="Arial" w:cs="Arial"/>
                <w:sz w:val="20"/>
                <w:szCs w:val="20"/>
              </w:rPr>
            </w:pPr>
            <w:r w:rsidRPr="00A01088">
              <w:rPr>
                <w:rFonts w:ascii="Arial" w:hAnsi="Arial" w:cs="Arial"/>
                <w:sz w:val="20"/>
                <w:szCs w:val="20"/>
              </w:rPr>
              <w:t>All other income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CFCFF2F"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40D690C1" w14:textId="77777777" w:rsidR="00E40280" w:rsidRPr="00A01088" w:rsidRDefault="00E40280" w:rsidP="00E40280">
            <w:pPr>
              <w:jc w:val="right"/>
              <w:rPr>
                <w:rFonts w:ascii="Arial" w:hAnsi="Arial" w:cs="Arial"/>
                <w:sz w:val="20"/>
                <w:szCs w:val="20"/>
              </w:rPr>
            </w:pPr>
            <w:r w:rsidRPr="00A01088">
              <w:rPr>
                <w:rFonts w:ascii="Arial" w:hAnsi="Arial" w:cs="Arial"/>
                <w:sz w:val="20"/>
                <w:szCs w:val="20"/>
              </w:rPr>
              <w:t>20%</w:t>
            </w:r>
          </w:p>
        </w:tc>
      </w:tr>
      <w:tr w:rsidR="00E40280" w:rsidRPr="00EF34F1" w14:paraId="25DE14FE"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EAAB491" w14:textId="4437DF5B" w:rsidR="00E40280" w:rsidRPr="00A01088" w:rsidRDefault="00E40280" w:rsidP="00E40280">
            <w:pPr>
              <w:rPr>
                <w:rFonts w:ascii="Arial" w:hAnsi="Arial" w:cs="Arial"/>
                <w:i/>
                <w:iCs/>
                <w:sz w:val="19"/>
                <w:szCs w:val="19"/>
              </w:rPr>
            </w:pPr>
            <w:r w:rsidRPr="00A01088">
              <w:rPr>
                <w:rFonts w:ascii="Arial" w:hAnsi="Arial" w:cs="Arial"/>
                <w:i/>
                <w:iCs/>
                <w:sz w:val="18"/>
                <w:szCs w:val="18"/>
              </w:rPr>
              <w:t xml:space="preserve">Note 20: </w:t>
            </w:r>
            <w:r w:rsidR="0012281F" w:rsidRPr="00A01088">
              <w:rPr>
                <w:rFonts w:ascii="Arial" w:hAnsi="Arial" w:cs="Arial"/>
                <w:i/>
                <w:iCs/>
                <w:sz w:val="18"/>
                <w:szCs w:val="18"/>
              </w:rPr>
              <w:t>t</w:t>
            </w:r>
            <w:r w:rsidRPr="00A01088">
              <w:rPr>
                <w:rFonts w:ascii="Arial" w:hAnsi="Arial" w:cs="Arial"/>
                <w:i/>
                <w:iCs/>
                <w:sz w:val="18"/>
                <w:szCs w:val="18"/>
              </w:rPr>
              <w:t>rustees do not qualify for the dividend allowance. This means trustees pay tax on all dividends depending on the tax band they fall within.</w:t>
            </w:r>
          </w:p>
        </w:tc>
      </w:tr>
      <w:tr w:rsidR="008E1501" w:rsidRPr="00EF34F1" w14:paraId="574D2CEE"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3D8177C" w14:textId="77777777" w:rsidR="008E1501" w:rsidRPr="00A01088" w:rsidRDefault="008E1501" w:rsidP="008E1501">
            <w:pPr>
              <w:rPr>
                <w:rFonts w:ascii="Arial" w:hAnsi="Arial" w:cs="Arial"/>
                <w:b/>
                <w:bCs/>
                <w:sz w:val="20"/>
                <w:szCs w:val="20"/>
              </w:rPr>
            </w:pPr>
            <w:r w:rsidRPr="00A01088">
              <w:rPr>
                <w:rFonts w:ascii="Arial" w:hAnsi="Arial" w:cs="Arial"/>
                <w:b/>
                <w:bCs/>
                <w:sz w:val="20"/>
                <w:szCs w:val="20"/>
              </w:rPr>
              <w:t>Corporation tax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409C744" w14:textId="2D99A10C" w:rsidR="008E1501" w:rsidRPr="00EF34F1" w:rsidRDefault="008E1501" w:rsidP="008E1501">
            <w:pPr>
              <w:jc w:val="center"/>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62E3FAA" w14:textId="703D1E99" w:rsidR="008E1501" w:rsidRPr="00EF34F1" w:rsidRDefault="008E1501" w:rsidP="008E1501">
            <w:pPr>
              <w:jc w:val="center"/>
              <w:rPr>
                <w:rFonts w:ascii="Arial" w:hAnsi="Arial" w:cs="Arial"/>
                <w:b/>
                <w:bCs/>
                <w:sz w:val="20"/>
                <w:szCs w:val="20"/>
              </w:rPr>
            </w:pPr>
            <w:r>
              <w:rPr>
                <w:rFonts w:ascii="Arial" w:hAnsi="Arial" w:cs="Arial"/>
                <w:b/>
                <w:bCs/>
                <w:sz w:val="24"/>
                <w:szCs w:val="24"/>
              </w:rPr>
              <w:t>2021/22</w:t>
            </w:r>
          </w:p>
        </w:tc>
      </w:tr>
      <w:tr w:rsidR="008E1501" w:rsidRPr="00EF34F1" w14:paraId="17E8EA0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6C18DF0" w14:textId="5F4F4080" w:rsidR="008E1501" w:rsidRPr="00A01088" w:rsidRDefault="008E1501" w:rsidP="008E1501">
            <w:pPr>
              <w:rPr>
                <w:rFonts w:ascii="Arial" w:hAnsi="Arial" w:cs="Arial"/>
                <w:sz w:val="20"/>
                <w:szCs w:val="20"/>
              </w:rPr>
            </w:pPr>
            <w:r w:rsidRPr="00A01088">
              <w:rPr>
                <w:rFonts w:ascii="Arial" w:hAnsi="Arial" w:cs="Arial"/>
                <w:sz w:val="20"/>
                <w:szCs w:val="20"/>
              </w:rPr>
              <w:t>All profits and gains (excluding determination agreements and diverted profits) (note 21)</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A6F041C" w14:textId="77777777" w:rsidR="008E1501" w:rsidRPr="001C546F" w:rsidRDefault="008E1501" w:rsidP="008E1501">
            <w:pPr>
              <w:jc w:val="right"/>
              <w:rPr>
                <w:rFonts w:ascii="Arial" w:hAnsi="Arial" w:cs="Arial"/>
                <w:sz w:val="20"/>
                <w:szCs w:val="20"/>
              </w:rPr>
            </w:pPr>
            <w:r w:rsidRPr="001C546F">
              <w:rPr>
                <w:rFonts w:ascii="Arial" w:hAnsi="Arial" w:cs="Arial"/>
                <w:sz w:val="20"/>
                <w:szCs w:val="20"/>
              </w:rPr>
              <w:t>19%</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FFD6A6E" w14:textId="77777777" w:rsidR="008E1501" w:rsidRPr="008E1501" w:rsidRDefault="008E1501" w:rsidP="008E1501">
            <w:pPr>
              <w:jc w:val="right"/>
              <w:rPr>
                <w:rFonts w:ascii="Arial" w:hAnsi="Arial" w:cs="Arial"/>
                <w:sz w:val="20"/>
                <w:szCs w:val="20"/>
              </w:rPr>
            </w:pPr>
            <w:r w:rsidRPr="008E1501">
              <w:rPr>
                <w:rFonts w:ascii="Arial" w:hAnsi="Arial" w:cs="Arial"/>
                <w:sz w:val="20"/>
                <w:szCs w:val="20"/>
              </w:rPr>
              <w:t>19%</w:t>
            </w:r>
          </w:p>
        </w:tc>
      </w:tr>
      <w:tr w:rsidR="008E1501" w:rsidRPr="00EF34F1" w14:paraId="370C66B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D6625B8" w14:textId="073BBD11" w:rsidR="008E1501" w:rsidRPr="00A01088" w:rsidRDefault="008E1501" w:rsidP="008E1501">
            <w:pPr>
              <w:rPr>
                <w:rFonts w:ascii="Arial" w:hAnsi="Arial" w:cs="Arial"/>
                <w:sz w:val="20"/>
                <w:szCs w:val="20"/>
              </w:rPr>
            </w:pPr>
            <w:r w:rsidRPr="00A01088">
              <w:rPr>
                <w:rFonts w:ascii="Arial" w:hAnsi="Arial" w:cs="Arial"/>
                <w:sz w:val="20"/>
                <w:szCs w:val="20"/>
              </w:rPr>
              <w:t>S.455 tax on loans made by close companies to participators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2C1D943" w14:textId="7760BDA6" w:rsidR="008E1501" w:rsidRPr="007E7C16" w:rsidRDefault="008E1501" w:rsidP="008E1501">
            <w:pPr>
              <w:jc w:val="right"/>
              <w:rPr>
                <w:rFonts w:ascii="Arial" w:hAnsi="Arial" w:cs="Arial"/>
                <w:sz w:val="20"/>
                <w:szCs w:val="20"/>
                <w:highlight w:val="yellow"/>
              </w:rPr>
            </w:pPr>
            <w:r w:rsidRPr="00A01088">
              <w:rPr>
                <w:rFonts w:ascii="Arial" w:hAnsi="Arial" w:cs="Arial"/>
                <w:sz w:val="20"/>
                <w:szCs w:val="20"/>
              </w:rPr>
              <w:t>33.75%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1B8BBE0" w14:textId="77777777" w:rsidR="008E1501" w:rsidRPr="008E1501" w:rsidRDefault="008E1501" w:rsidP="008E1501">
            <w:pPr>
              <w:jc w:val="right"/>
              <w:rPr>
                <w:rFonts w:ascii="Arial" w:hAnsi="Arial" w:cs="Arial"/>
                <w:sz w:val="20"/>
                <w:szCs w:val="20"/>
              </w:rPr>
            </w:pPr>
            <w:r w:rsidRPr="008E1501">
              <w:rPr>
                <w:rFonts w:ascii="Arial" w:hAnsi="Arial" w:cs="Arial"/>
                <w:sz w:val="20"/>
                <w:szCs w:val="20"/>
              </w:rPr>
              <w:t>32.50%</w:t>
            </w:r>
          </w:p>
        </w:tc>
      </w:tr>
      <w:tr w:rsidR="008E1501" w:rsidRPr="00EF34F1" w14:paraId="635D6736"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20832CE1" w14:textId="7ACDDC5B" w:rsidR="008E1501" w:rsidRPr="00781552" w:rsidRDefault="008E1501" w:rsidP="008E1501">
            <w:pPr>
              <w:rPr>
                <w:rFonts w:ascii="Arial" w:hAnsi="Arial" w:cs="Arial"/>
                <w:i/>
                <w:iCs/>
                <w:sz w:val="18"/>
                <w:szCs w:val="18"/>
              </w:rPr>
            </w:pPr>
            <w:r w:rsidRPr="00781552">
              <w:rPr>
                <w:rFonts w:ascii="Arial" w:hAnsi="Arial" w:cs="Arial"/>
                <w:i/>
                <w:iCs/>
                <w:sz w:val="18"/>
                <w:szCs w:val="18"/>
              </w:rPr>
              <w:t xml:space="preserve">Note 21: </w:t>
            </w:r>
            <w:r w:rsidR="00195A0A">
              <w:rPr>
                <w:rFonts w:ascii="Arial" w:hAnsi="Arial" w:cs="Arial"/>
                <w:i/>
                <w:iCs/>
                <w:sz w:val="18"/>
                <w:szCs w:val="18"/>
              </w:rPr>
              <w:t>c</w:t>
            </w:r>
            <w:r w:rsidRPr="00781552">
              <w:rPr>
                <w:rFonts w:ascii="Arial" w:hAnsi="Arial" w:cs="Arial"/>
                <w:i/>
                <w:iCs/>
                <w:sz w:val="18"/>
                <w:szCs w:val="18"/>
              </w:rPr>
              <w:t xml:space="preserve">orporation tax rate will remain at 19% until March 2023. From April 2023, the main rate will increase to 25% for business profits made by the company over £250,000. A small profits rate (SPR) will also be introduced for companies with profits of £50,000 or less so that they will continue to pay </w:t>
            </w:r>
            <w:r w:rsidR="00F71F30">
              <w:rPr>
                <w:rFonts w:ascii="Arial" w:hAnsi="Arial" w:cs="Arial"/>
                <w:i/>
                <w:iCs/>
                <w:sz w:val="18"/>
                <w:szCs w:val="18"/>
              </w:rPr>
              <w:t>c</w:t>
            </w:r>
            <w:r w:rsidRPr="00781552">
              <w:rPr>
                <w:rFonts w:ascii="Arial" w:hAnsi="Arial" w:cs="Arial"/>
                <w:i/>
                <w:iCs/>
                <w:sz w:val="18"/>
                <w:szCs w:val="18"/>
              </w:rPr>
              <w:t xml:space="preserve">orporation </w:t>
            </w:r>
            <w:r w:rsidR="00F71F30">
              <w:rPr>
                <w:rFonts w:ascii="Arial" w:hAnsi="Arial" w:cs="Arial"/>
                <w:i/>
                <w:iCs/>
                <w:sz w:val="18"/>
                <w:szCs w:val="18"/>
              </w:rPr>
              <w:t>t</w:t>
            </w:r>
            <w:r w:rsidRPr="00781552">
              <w:rPr>
                <w:rFonts w:ascii="Arial" w:hAnsi="Arial" w:cs="Arial"/>
                <w:i/>
                <w:iCs/>
                <w:sz w:val="18"/>
                <w:szCs w:val="18"/>
              </w:rPr>
              <w:t xml:space="preserve">ax at 19%. Companies with profits between £50,000 and £250,000 will pay tax at the main rate reduced by a marginal relief providing a gradual increase in the effective </w:t>
            </w:r>
            <w:r w:rsidR="00F71F30">
              <w:rPr>
                <w:rFonts w:ascii="Arial" w:hAnsi="Arial" w:cs="Arial"/>
                <w:i/>
                <w:iCs/>
                <w:sz w:val="18"/>
                <w:szCs w:val="18"/>
              </w:rPr>
              <w:t>c</w:t>
            </w:r>
            <w:r w:rsidRPr="00781552">
              <w:rPr>
                <w:rFonts w:ascii="Arial" w:hAnsi="Arial" w:cs="Arial"/>
                <w:i/>
                <w:iCs/>
                <w:sz w:val="18"/>
                <w:szCs w:val="18"/>
              </w:rPr>
              <w:t xml:space="preserve">orporation </w:t>
            </w:r>
            <w:r w:rsidR="00F71F30">
              <w:rPr>
                <w:rFonts w:ascii="Arial" w:hAnsi="Arial" w:cs="Arial"/>
                <w:i/>
                <w:iCs/>
                <w:sz w:val="18"/>
                <w:szCs w:val="18"/>
              </w:rPr>
              <w:t>t</w:t>
            </w:r>
            <w:r w:rsidRPr="00781552">
              <w:rPr>
                <w:rFonts w:ascii="Arial" w:hAnsi="Arial" w:cs="Arial"/>
                <w:i/>
                <w:iCs/>
                <w:sz w:val="18"/>
                <w:szCs w:val="18"/>
              </w:rPr>
              <w:t>ax rate.</w:t>
            </w:r>
          </w:p>
        </w:tc>
      </w:tr>
      <w:tr w:rsidR="00F735CE" w:rsidRPr="00EF34F1" w14:paraId="6702954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1CDCC0D"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 xml:space="preserve">Capital </w:t>
            </w:r>
            <w:r>
              <w:rPr>
                <w:rFonts w:ascii="Arial" w:hAnsi="Arial" w:cs="Arial"/>
                <w:b/>
                <w:bCs/>
                <w:sz w:val="20"/>
                <w:szCs w:val="20"/>
              </w:rPr>
              <w:t>a</w:t>
            </w:r>
            <w:r w:rsidRPr="00EF34F1">
              <w:rPr>
                <w:rFonts w:ascii="Arial" w:hAnsi="Arial" w:cs="Arial"/>
                <w:b/>
                <w:bCs/>
                <w:sz w:val="20"/>
                <w:szCs w:val="20"/>
              </w:rPr>
              <w:t>llowances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F1A10CB" w14:textId="6A001E92" w:rsidR="00F735CE" w:rsidRPr="00EF34F1" w:rsidRDefault="00F735CE" w:rsidP="00F735CE">
            <w:pPr>
              <w:jc w:val="right"/>
              <w:rPr>
                <w:rFonts w:ascii="Arial" w:hAnsi="Arial" w:cs="Arial"/>
                <w:b/>
                <w:bCs/>
                <w:sz w:val="20"/>
                <w:szCs w:val="20"/>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2603488A" w14:textId="51FE99E4" w:rsidR="00F735CE" w:rsidRPr="00EF34F1" w:rsidRDefault="00F735CE" w:rsidP="00F735CE">
            <w:pPr>
              <w:jc w:val="right"/>
              <w:rPr>
                <w:rFonts w:ascii="Arial" w:hAnsi="Arial" w:cs="Arial"/>
                <w:b/>
                <w:bCs/>
                <w:sz w:val="20"/>
                <w:szCs w:val="20"/>
              </w:rPr>
            </w:pPr>
            <w:r>
              <w:rPr>
                <w:rFonts w:ascii="Arial" w:hAnsi="Arial" w:cs="Arial"/>
                <w:b/>
                <w:bCs/>
                <w:sz w:val="24"/>
                <w:szCs w:val="24"/>
              </w:rPr>
              <w:t>2021/22</w:t>
            </w:r>
          </w:p>
        </w:tc>
      </w:tr>
      <w:tr w:rsidR="00F735CE" w:rsidRPr="00EF34F1" w14:paraId="6A47A89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926632B" w14:textId="77777777" w:rsidR="00F735CE" w:rsidRPr="00B84A26" w:rsidRDefault="00F735CE" w:rsidP="00F735CE">
            <w:pPr>
              <w:rPr>
                <w:rFonts w:ascii="Arial" w:hAnsi="Arial" w:cs="Arial"/>
                <w:sz w:val="20"/>
                <w:szCs w:val="20"/>
              </w:rPr>
            </w:pPr>
            <w:r w:rsidRPr="00B84A26">
              <w:rPr>
                <w:rFonts w:ascii="Arial" w:hAnsi="Arial" w:cs="Arial"/>
                <w:sz w:val="20"/>
                <w:szCs w:val="20"/>
              </w:rPr>
              <w:t>Main writing-down allowance (reducing balance)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0B74B4E"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18%</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2D0AB48" w14:textId="233E2671" w:rsidR="00F735CE" w:rsidRPr="00000C9E" w:rsidRDefault="00F735CE" w:rsidP="00F735CE">
            <w:pPr>
              <w:jc w:val="right"/>
              <w:rPr>
                <w:rFonts w:ascii="Arial" w:hAnsi="Arial" w:cs="Arial"/>
                <w:sz w:val="20"/>
                <w:szCs w:val="20"/>
              </w:rPr>
            </w:pPr>
            <w:r w:rsidRPr="00000C9E">
              <w:rPr>
                <w:rFonts w:ascii="Arial" w:hAnsi="Arial" w:cs="Arial"/>
                <w:sz w:val="20"/>
                <w:szCs w:val="20"/>
              </w:rPr>
              <w:t>18%</w:t>
            </w:r>
          </w:p>
        </w:tc>
      </w:tr>
      <w:tr w:rsidR="00F735CE" w:rsidRPr="00EF34F1" w14:paraId="71B5DA2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A1CBB55" w14:textId="77777777" w:rsidR="00F735CE" w:rsidRPr="00B84A26" w:rsidRDefault="00F735CE" w:rsidP="00F735CE">
            <w:pPr>
              <w:rPr>
                <w:rFonts w:ascii="Arial" w:hAnsi="Arial" w:cs="Arial"/>
                <w:sz w:val="20"/>
                <w:szCs w:val="20"/>
              </w:rPr>
            </w:pPr>
            <w:r w:rsidRPr="00B84A26">
              <w:rPr>
                <w:rFonts w:ascii="Arial" w:hAnsi="Arial" w:cs="Arial"/>
                <w:sz w:val="20"/>
                <w:szCs w:val="20"/>
              </w:rPr>
              <w:t>Special rate writing-down allowance (reducing balance)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B4B8CB0"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C61097D" w14:textId="4562BED7"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7040CF7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687FBB0D" w14:textId="58EBFB23" w:rsidR="00F735CE" w:rsidRPr="00B84A26" w:rsidRDefault="00F735CE" w:rsidP="00F735CE">
            <w:pPr>
              <w:rPr>
                <w:rFonts w:ascii="Arial" w:hAnsi="Arial" w:cs="Arial"/>
                <w:sz w:val="20"/>
                <w:szCs w:val="20"/>
              </w:rPr>
            </w:pPr>
            <w:r w:rsidRPr="00B84A26">
              <w:rPr>
                <w:rFonts w:ascii="Arial" w:hAnsi="Arial" w:cs="Arial"/>
                <w:sz w:val="20"/>
                <w:szCs w:val="20"/>
              </w:rPr>
              <w:t xml:space="preserve">Structures and buildings allowance (SBA) </w:t>
            </w:r>
            <w:r w:rsidRPr="0072348A">
              <w:rPr>
                <w:rFonts w:ascii="Arial" w:hAnsi="Arial" w:cs="Arial"/>
                <w:sz w:val="20"/>
                <w:szCs w:val="20"/>
              </w:rPr>
              <w:t>(note 23)</w:t>
            </w:r>
          </w:p>
        </w:tc>
        <w:tc>
          <w:tcPr>
            <w:tcW w:w="1842" w:type="dxa"/>
            <w:gridSpan w:val="4"/>
            <w:tcBorders>
              <w:top w:val="single" w:sz="4" w:space="0" w:color="auto"/>
              <w:left w:val="single" w:sz="4" w:space="0" w:color="auto"/>
              <w:bottom w:val="single" w:sz="4" w:space="0" w:color="auto"/>
              <w:right w:val="single" w:sz="4" w:space="0" w:color="auto"/>
            </w:tcBorders>
            <w:noWrap/>
          </w:tcPr>
          <w:p w14:paraId="0737BF50"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3%</w:t>
            </w:r>
          </w:p>
        </w:tc>
        <w:tc>
          <w:tcPr>
            <w:tcW w:w="1705" w:type="dxa"/>
            <w:gridSpan w:val="2"/>
            <w:tcBorders>
              <w:top w:val="single" w:sz="4" w:space="0" w:color="auto"/>
              <w:left w:val="single" w:sz="4" w:space="0" w:color="auto"/>
              <w:bottom w:val="single" w:sz="4" w:space="0" w:color="auto"/>
              <w:right w:val="single" w:sz="4" w:space="0" w:color="auto"/>
            </w:tcBorders>
            <w:noWrap/>
          </w:tcPr>
          <w:p w14:paraId="00B30E86" w14:textId="4EE34513" w:rsidR="00F735CE" w:rsidRPr="00000C9E" w:rsidRDefault="00F735CE" w:rsidP="00F735CE">
            <w:pPr>
              <w:jc w:val="right"/>
              <w:rPr>
                <w:rFonts w:ascii="Arial" w:hAnsi="Arial" w:cs="Arial"/>
                <w:sz w:val="20"/>
                <w:szCs w:val="20"/>
              </w:rPr>
            </w:pPr>
            <w:r w:rsidRPr="00000C9E">
              <w:rPr>
                <w:rFonts w:ascii="Arial" w:hAnsi="Arial" w:cs="Arial"/>
                <w:sz w:val="20"/>
                <w:szCs w:val="20"/>
              </w:rPr>
              <w:t>3%</w:t>
            </w:r>
          </w:p>
        </w:tc>
      </w:tr>
      <w:tr w:rsidR="00F735CE" w:rsidRPr="00EF34F1" w14:paraId="3AE29FB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1640F8E" w14:textId="45115839" w:rsidR="00F735CE" w:rsidRPr="00B84A26" w:rsidRDefault="00F735CE" w:rsidP="00F735CE">
            <w:pPr>
              <w:rPr>
                <w:rFonts w:ascii="Arial" w:hAnsi="Arial" w:cs="Arial"/>
                <w:sz w:val="20"/>
                <w:szCs w:val="20"/>
              </w:rPr>
            </w:pPr>
            <w:r w:rsidRPr="00B84A26">
              <w:rPr>
                <w:rFonts w:ascii="Arial" w:hAnsi="Arial" w:cs="Arial"/>
                <w:sz w:val="20"/>
                <w:szCs w:val="20"/>
              </w:rPr>
              <w:t>Motor cars if CO2 &gt; 50g/km but does not exceed 110g/km)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6B57B3F"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B4616BA" w14:textId="7C23853E"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364D71D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2316B1AF" w14:textId="03387E48" w:rsidR="00F735CE" w:rsidRPr="00B84A26" w:rsidRDefault="00F735CE" w:rsidP="00F735CE">
            <w:pPr>
              <w:rPr>
                <w:rFonts w:ascii="Arial" w:hAnsi="Arial" w:cs="Arial"/>
                <w:sz w:val="20"/>
                <w:szCs w:val="20"/>
              </w:rPr>
            </w:pPr>
            <w:r w:rsidRPr="00B84A26">
              <w:rPr>
                <w:rFonts w:ascii="Arial" w:hAnsi="Arial" w:cs="Arial"/>
                <w:sz w:val="20"/>
                <w:szCs w:val="20"/>
              </w:rPr>
              <w:t>Motor cars if CO2 &gt; 110g/km</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8AB5DDE"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6%</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13CD894" w14:textId="29A32ABD" w:rsidR="00F735CE" w:rsidRPr="00000C9E" w:rsidRDefault="00F735CE" w:rsidP="00F735CE">
            <w:pPr>
              <w:jc w:val="right"/>
              <w:rPr>
                <w:rFonts w:ascii="Arial" w:hAnsi="Arial" w:cs="Arial"/>
                <w:sz w:val="20"/>
                <w:szCs w:val="20"/>
              </w:rPr>
            </w:pPr>
            <w:r w:rsidRPr="00000C9E">
              <w:rPr>
                <w:rFonts w:ascii="Arial" w:hAnsi="Arial" w:cs="Arial"/>
                <w:sz w:val="20"/>
                <w:szCs w:val="20"/>
              </w:rPr>
              <w:t>6%</w:t>
            </w:r>
          </w:p>
        </w:tc>
      </w:tr>
      <w:tr w:rsidR="00F735CE" w:rsidRPr="00EF34F1" w14:paraId="29360D5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41446C7" w14:textId="00B563F7" w:rsidR="00F735CE" w:rsidRPr="00B84A26" w:rsidDel="002542DC" w:rsidRDefault="00AE3C9F" w:rsidP="00F735CE">
            <w:pPr>
              <w:rPr>
                <w:rFonts w:ascii="Arial" w:hAnsi="Arial" w:cs="Arial"/>
                <w:sz w:val="20"/>
                <w:szCs w:val="20"/>
              </w:rPr>
            </w:pPr>
            <w:r w:rsidRPr="00554E4C">
              <w:rPr>
                <w:rFonts w:ascii="Arial" w:hAnsi="Arial" w:cs="Arial"/>
                <w:sz w:val="20"/>
                <w:szCs w:val="20"/>
              </w:rPr>
              <w:t xml:space="preserve">First-year allowances </w:t>
            </w:r>
            <w:r>
              <w:rPr>
                <w:rFonts w:ascii="Arial" w:hAnsi="Arial" w:cs="Arial"/>
                <w:sz w:val="20"/>
                <w:szCs w:val="20"/>
              </w:rPr>
              <w:t>(</w:t>
            </w:r>
            <w:r w:rsidR="00F735CE" w:rsidRPr="00B84A26">
              <w:rPr>
                <w:rFonts w:ascii="Arial" w:hAnsi="Arial" w:cs="Arial"/>
                <w:sz w:val="20"/>
                <w:szCs w:val="20"/>
              </w:rPr>
              <w:t>FYA</w:t>
            </w:r>
            <w:r>
              <w:rPr>
                <w:rFonts w:ascii="Arial" w:hAnsi="Arial" w:cs="Arial"/>
                <w:sz w:val="20"/>
                <w:szCs w:val="20"/>
              </w:rPr>
              <w:t>)</w:t>
            </w:r>
            <w:r w:rsidR="00F735CE" w:rsidRPr="00B84A26">
              <w:rPr>
                <w:rFonts w:ascii="Arial" w:hAnsi="Arial" w:cs="Arial"/>
                <w:sz w:val="20"/>
                <w:szCs w:val="20"/>
              </w:rPr>
              <w:t xml:space="preserve"> – New and unused motor cars if CO2 emissions are 50 g/km or less (or car is electric) (note 2</w:t>
            </w:r>
            <w:r w:rsidR="00F735CE">
              <w:rPr>
                <w:rFonts w:ascii="Arial" w:hAnsi="Arial" w:cs="Arial"/>
                <w:sz w:val="20"/>
                <w:szCs w:val="20"/>
              </w:rPr>
              <w:t>2</w:t>
            </w:r>
            <w:r w:rsidR="00F735CE" w:rsidRPr="00B84A26">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8EC10B1" w14:textId="77777777" w:rsidR="00F735CE" w:rsidRPr="00554E4C" w:rsidDel="002542D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3492C53" w14:textId="0F511D7D" w:rsidR="00F735CE" w:rsidRPr="00000C9E" w:rsidDel="002542DC"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56019E89"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9AAD4B8" w14:textId="07FE4459" w:rsidR="00F735CE" w:rsidRPr="00B84A26" w:rsidRDefault="00F735CE" w:rsidP="00F735CE">
            <w:pPr>
              <w:rPr>
                <w:rFonts w:ascii="Arial" w:hAnsi="Arial" w:cs="Arial"/>
                <w:sz w:val="20"/>
                <w:szCs w:val="20"/>
              </w:rPr>
            </w:pPr>
            <w:r w:rsidRPr="00B84A26">
              <w:rPr>
                <w:rFonts w:ascii="Arial" w:hAnsi="Arial" w:cs="Arial"/>
                <w:sz w:val="20"/>
                <w:szCs w:val="20"/>
              </w:rPr>
              <w:t xml:space="preserve">Small pool write-off where </w:t>
            </w:r>
            <w:r w:rsidR="00F71F30">
              <w:rPr>
                <w:rFonts w:ascii="Arial" w:hAnsi="Arial" w:cs="Arial"/>
                <w:sz w:val="20"/>
                <w:szCs w:val="20"/>
              </w:rPr>
              <w:t>written-down value (</w:t>
            </w:r>
            <w:r w:rsidRPr="00B84A26">
              <w:rPr>
                <w:rFonts w:ascii="Arial" w:hAnsi="Arial" w:cs="Arial"/>
                <w:sz w:val="20"/>
                <w:szCs w:val="20"/>
              </w:rPr>
              <w:t>WDV</w:t>
            </w:r>
            <w:r w:rsidR="00F71F30">
              <w:rPr>
                <w:rFonts w:ascii="Arial" w:hAnsi="Arial" w:cs="Arial"/>
                <w:sz w:val="20"/>
                <w:szCs w:val="20"/>
              </w:rPr>
              <w:t>)</w:t>
            </w:r>
            <w:r w:rsidRPr="00B84A26">
              <w:rPr>
                <w:rFonts w:ascii="Arial" w:hAnsi="Arial" w:cs="Arial"/>
                <w:sz w:val="20"/>
                <w:szCs w:val="20"/>
              </w:rPr>
              <w:t xml:space="preserve"> is £1,000 or less</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49AF68F7" w14:textId="77777777" w:rsidR="00F735CE" w:rsidRPr="00554E4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95AA890" w14:textId="2FC0E634"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6314E96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72BE223" w14:textId="3A97B113" w:rsidR="00F735CE" w:rsidRPr="00554E4C" w:rsidRDefault="00AE3C9F" w:rsidP="00F735CE">
            <w:pPr>
              <w:rPr>
                <w:rFonts w:ascii="Arial" w:hAnsi="Arial" w:cs="Arial"/>
                <w:sz w:val="20"/>
                <w:szCs w:val="20"/>
              </w:rPr>
            </w:pPr>
            <w:r>
              <w:rPr>
                <w:rFonts w:ascii="Arial" w:hAnsi="Arial" w:cs="Arial"/>
                <w:sz w:val="20"/>
                <w:szCs w:val="20"/>
              </w:rPr>
              <w:t xml:space="preserve">FYA </w:t>
            </w:r>
            <w:r w:rsidR="00F735CE" w:rsidRPr="00554E4C">
              <w:rPr>
                <w:rFonts w:ascii="Arial" w:hAnsi="Arial" w:cs="Arial"/>
                <w:sz w:val="20"/>
                <w:szCs w:val="20"/>
              </w:rPr>
              <w:t>for electric charge points (note 2</w:t>
            </w:r>
            <w:r w:rsidR="00F735CE">
              <w:rPr>
                <w:rFonts w:ascii="Arial" w:hAnsi="Arial" w:cs="Arial"/>
                <w:sz w:val="20"/>
                <w:szCs w:val="20"/>
              </w:rPr>
              <w:t>4</w:t>
            </w:r>
            <w:r w:rsidR="00F735CE" w:rsidRPr="00554E4C">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98F0F91" w14:textId="3A197F89" w:rsidR="00F735CE" w:rsidRPr="00554E4C" w:rsidRDefault="00F735CE" w:rsidP="00F735CE">
            <w:pPr>
              <w:jc w:val="right"/>
              <w:rPr>
                <w:rFonts w:ascii="Arial" w:hAnsi="Arial" w:cs="Arial"/>
                <w:sz w:val="20"/>
                <w:szCs w:val="20"/>
              </w:rPr>
            </w:pPr>
            <w:r w:rsidRPr="00554E4C">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5054DFA7" w14:textId="00606E5B"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58CDCFF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344BD9AF" w14:textId="2AB5569C" w:rsidR="00F735CE" w:rsidRPr="00A01088" w:rsidRDefault="00F735CE" w:rsidP="00F735CE">
            <w:pPr>
              <w:rPr>
                <w:rFonts w:ascii="Arial" w:hAnsi="Arial" w:cs="Arial"/>
                <w:sz w:val="20"/>
                <w:szCs w:val="20"/>
              </w:rPr>
            </w:pPr>
            <w:r w:rsidRPr="00A01088">
              <w:rPr>
                <w:rFonts w:ascii="Arial" w:hAnsi="Arial" w:cs="Arial"/>
                <w:sz w:val="20"/>
                <w:szCs w:val="20"/>
              </w:rPr>
              <w:t>Annual investment allowance (AIA) (note 25)</w:t>
            </w:r>
          </w:p>
        </w:tc>
        <w:tc>
          <w:tcPr>
            <w:tcW w:w="1842" w:type="dxa"/>
            <w:gridSpan w:val="4"/>
            <w:tcBorders>
              <w:top w:val="single" w:sz="4" w:space="0" w:color="auto"/>
              <w:left w:val="single" w:sz="4" w:space="0" w:color="auto"/>
              <w:bottom w:val="single" w:sz="4" w:space="0" w:color="auto"/>
              <w:right w:val="single" w:sz="4" w:space="0" w:color="auto"/>
            </w:tcBorders>
            <w:noWrap/>
          </w:tcPr>
          <w:p w14:paraId="5CEAD54E" w14:textId="77777777" w:rsidR="00F735CE" w:rsidRPr="00A01088" w:rsidRDefault="00F735CE" w:rsidP="00F735CE">
            <w:pPr>
              <w:jc w:val="right"/>
              <w:rPr>
                <w:rFonts w:ascii="Arial" w:hAnsi="Arial" w:cs="Arial"/>
                <w:sz w:val="20"/>
                <w:szCs w:val="20"/>
              </w:rPr>
            </w:pPr>
            <w:r w:rsidRPr="00A01088">
              <w:rPr>
                <w:rFonts w:ascii="Arial" w:hAnsi="Arial" w:cs="Arial"/>
                <w:sz w:val="20"/>
                <w:szCs w:val="20"/>
              </w:rPr>
              <w:t>£1,000,000</w:t>
            </w:r>
          </w:p>
        </w:tc>
        <w:tc>
          <w:tcPr>
            <w:tcW w:w="1705" w:type="dxa"/>
            <w:gridSpan w:val="2"/>
            <w:tcBorders>
              <w:top w:val="single" w:sz="4" w:space="0" w:color="auto"/>
              <w:left w:val="single" w:sz="4" w:space="0" w:color="auto"/>
              <w:bottom w:val="single" w:sz="4" w:space="0" w:color="auto"/>
              <w:right w:val="single" w:sz="4" w:space="0" w:color="auto"/>
            </w:tcBorders>
            <w:noWrap/>
          </w:tcPr>
          <w:p w14:paraId="3805FD29" w14:textId="6C48EB18" w:rsidR="00F735CE" w:rsidRPr="00740AB1" w:rsidRDefault="00F735CE" w:rsidP="00F735CE">
            <w:pPr>
              <w:jc w:val="right"/>
              <w:rPr>
                <w:rFonts w:ascii="Arial" w:hAnsi="Arial" w:cs="Arial"/>
                <w:sz w:val="20"/>
                <w:szCs w:val="20"/>
              </w:rPr>
            </w:pPr>
            <w:r w:rsidRPr="00740AB1">
              <w:rPr>
                <w:rFonts w:ascii="Arial" w:hAnsi="Arial" w:cs="Arial"/>
                <w:sz w:val="20"/>
                <w:szCs w:val="20"/>
              </w:rPr>
              <w:t>£1,000,000</w:t>
            </w:r>
          </w:p>
        </w:tc>
      </w:tr>
      <w:tr w:rsidR="00F735CE" w:rsidRPr="00EF34F1" w14:paraId="3900733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B0B1F6" w14:textId="608E61AA" w:rsidR="00F735CE" w:rsidRPr="00B84A26" w:rsidRDefault="00042FF9" w:rsidP="00F735CE">
            <w:pPr>
              <w:rPr>
                <w:rFonts w:ascii="Arial" w:hAnsi="Arial" w:cs="Arial"/>
                <w:sz w:val="20"/>
                <w:szCs w:val="20"/>
              </w:rPr>
            </w:pPr>
            <w:r>
              <w:rPr>
                <w:rFonts w:ascii="Arial" w:hAnsi="Arial" w:cs="Arial"/>
                <w:sz w:val="20"/>
                <w:szCs w:val="20"/>
              </w:rPr>
              <w:t>AIA</w:t>
            </w:r>
            <w:r w:rsidR="00F735CE" w:rsidRPr="00B84A26">
              <w:rPr>
                <w:rFonts w:ascii="Arial" w:hAnsi="Arial" w:cs="Arial"/>
                <w:sz w:val="20"/>
                <w:szCs w:val="20"/>
              </w:rPr>
              <w:t xml:space="preserve"> </w:t>
            </w:r>
            <w:r w:rsidR="00F735CE">
              <w:rPr>
                <w:rFonts w:ascii="Arial" w:hAnsi="Arial" w:cs="Arial"/>
                <w:sz w:val="20"/>
                <w:szCs w:val="20"/>
              </w:rPr>
              <w:t>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7A82C25" w14:textId="77777777" w:rsidR="00F735CE" w:rsidRPr="008313F8" w:rsidRDefault="00F735CE" w:rsidP="00F735CE">
            <w:pPr>
              <w:jc w:val="right"/>
              <w:rPr>
                <w:rFonts w:ascii="Arial" w:hAnsi="Arial" w:cs="Arial"/>
                <w:sz w:val="20"/>
                <w:szCs w:val="20"/>
              </w:rPr>
            </w:pPr>
            <w:r w:rsidRPr="008313F8">
              <w:rPr>
                <w:rFonts w:ascii="Arial" w:hAnsi="Arial" w:cs="Arial"/>
                <w:sz w:val="20"/>
                <w:szCs w:val="20"/>
              </w:rPr>
              <w:t>100%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9B251FF" w14:textId="153301B8" w:rsidR="00F735CE" w:rsidRPr="00000C9E" w:rsidRDefault="00F735CE" w:rsidP="00F735CE">
            <w:pPr>
              <w:jc w:val="right"/>
              <w:rPr>
                <w:rFonts w:ascii="Arial" w:hAnsi="Arial" w:cs="Arial"/>
                <w:sz w:val="20"/>
                <w:szCs w:val="20"/>
              </w:rPr>
            </w:pPr>
            <w:r w:rsidRPr="00000C9E">
              <w:rPr>
                <w:rFonts w:ascii="Arial" w:hAnsi="Arial" w:cs="Arial"/>
                <w:sz w:val="20"/>
                <w:szCs w:val="20"/>
              </w:rPr>
              <w:t>100%</w:t>
            </w:r>
          </w:p>
        </w:tc>
      </w:tr>
      <w:tr w:rsidR="00F735CE" w:rsidRPr="00EF34F1" w14:paraId="2C6393D3"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150B4B5" w14:textId="259AA33F" w:rsidR="00F735CE" w:rsidRPr="001C44C1" w:rsidRDefault="00F735CE" w:rsidP="00F735CE">
            <w:pPr>
              <w:rPr>
                <w:rFonts w:ascii="Arial" w:hAnsi="Arial" w:cs="Arial"/>
                <w:i/>
                <w:iCs/>
                <w:sz w:val="18"/>
                <w:szCs w:val="18"/>
              </w:rPr>
            </w:pPr>
            <w:r w:rsidRPr="001C44C1">
              <w:rPr>
                <w:rFonts w:ascii="Arial" w:hAnsi="Arial" w:cs="Arial"/>
                <w:i/>
                <w:iCs/>
                <w:sz w:val="18"/>
                <w:szCs w:val="18"/>
              </w:rPr>
              <w:t xml:space="preserve">Note 22: </w:t>
            </w:r>
            <w:r w:rsidR="00AE3C9F">
              <w:rPr>
                <w:rFonts w:ascii="Arial" w:hAnsi="Arial" w:cs="Arial"/>
                <w:i/>
                <w:iCs/>
                <w:sz w:val="18"/>
                <w:szCs w:val="18"/>
              </w:rPr>
              <w:t>f</w:t>
            </w:r>
            <w:r w:rsidRPr="001C44C1">
              <w:rPr>
                <w:rFonts w:ascii="Arial" w:hAnsi="Arial" w:cs="Arial"/>
                <w:i/>
                <w:iCs/>
                <w:sz w:val="18"/>
                <w:szCs w:val="18"/>
              </w:rPr>
              <w:t>rom April 2021, the thresholds for FYA will be reduced from 50g/km to 0g/km. Main rate of 18% capital allowance will be applicable for business cars with CO2 emissions not exceeding 50g/km. Business cars with CO2 emissions exceeding 50g/km will be eligible for writing-down allowance</w:t>
            </w:r>
            <w:r w:rsidRPr="001C44C1">
              <w:rPr>
                <w:rFonts w:ascii="Arial" w:hAnsi="Arial" w:cs="Arial"/>
                <w:sz w:val="18"/>
                <w:szCs w:val="18"/>
              </w:rPr>
              <w:t xml:space="preserve"> </w:t>
            </w:r>
            <w:r w:rsidRPr="001C44C1">
              <w:rPr>
                <w:rFonts w:ascii="Arial" w:hAnsi="Arial" w:cs="Arial"/>
                <w:i/>
                <w:iCs/>
                <w:sz w:val="18"/>
                <w:szCs w:val="18"/>
              </w:rPr>
              <w:t>at the special rate of 6%.</w:t>
            </w:r>
          </w:p>
          <w:p w14:paraId="04372177" w14:textId="261A2449" w:rsidR="00F735CE" w:rsidRDefault="00F735CE" w:rsidP="00F735CE">
            <w:pPr>
              <w:rPr>
                <w:rFonts w:ascii="Arial" w:hAnsi="Arial" w:cs="Arial"/>
                <w:i/>
                <w:iCs/>
                <w:sz w:val="18"/>
                <w:szCs w:val="18"/>
              </w:rPr>
            </w:pPr>
            <w:r w:rsidRPr="0072348A">
              <w:rPr>
                <w:rFonts w:ascii="Arial" w:hAnsi="Arial" w:cs="Arial"/>
                <w:i/>
                <w:iCs/>
                <w:sz w:val="18"/>
                <w:szCs w:val="18"/>
              </w:rPr>
              <w:lastRenderedPageBreak/>
              <w:t xml:space="preserve">Note 23: </w:t>
            </w:r>
            <w:r w:rsidR="00042FF9">
              <w:rPr>
                <w:rFonts w:ascii="Arial" w:hAnsi="Arial" w:cs="Arial"/>
                <w:i/>
                <w:iCs/>
                <w:sz w:val="18"/>
                <w:szCs w:val="18"/>
              </w:rPr>
              <w:t>c</w:t>
            </w:r>
            <w:r w:rsidRPr="0072348A">
              <w:rPr>
                <w:rFonts w:ascii="Arial" w:hAnsi="Arial" w:cs="Arial"/>
                <w:i/>
                <w:iCs/>
                <w:sz w:val="18"/>
                <w:szCs w:val="18"/>
              </w:rPr>
              <w:t xml:space="preserve">ompanies claiming Structures </w:t>
            </w:r>
            <w:r w:rsidR="00227F77">
              <w:rPr>
                <w:rFonts w:ascii="Arial" w:hAnsi="Arial" w:cs="Arial"/>
                <w:i/>
                <w:iCs/>
                <w:sz w:val="18"/>
                <w:szCs w:val="18"/>
              </w:rPr>
              <w:t>and</w:t>
            </w:r>
            <w:r w:rsidRPr="0072348A">
              <w:rPr>
                <w:rFonts w:ascii="Arial" w:hAnsi="Arial" w:cs="Arial"/>
                <w:i/>
                <w:iCs/>
                <w:sz w:val="18"/>
                <w:szCs w:val="18"/>
              </w:rPr>
              <w:t xml:space="preserve"> Buildings Allowance (SBA) will be required to include further information on an allowance statement</w:t>
            </w:r>
            <w:r w:rsidR="00227F77">
              <w:rPr>
                <w:rFonts w:ascii="Arial" w:hAnsi="Arial" w:cs="Arial"/>
                <w:i/>
                <w:iCs/>
                <w:sz w:val="18"/>
                <w:szCs w:val="18"/>
              </w:rPr>
              <w:t>,</w:t>
            </w:r>
            <w:r w:rsidRPr="0072348A">
              <w:rPr>
                <w:rFonts w:ascii="Arial" w:hAnsi="Arial" w:cs="Arial"/>
                <w:i/>
                <w:iCs/>
                <w:sz w:val="18"/>
                <w:szCs w:val="18"/>
              </w:rPr>
              <w:t xml:space="preserve"> including dates the asset was first used and</w:t>
            </w:r>
            <w:r w:rsidR="0072348A" w:rsidRPr="0072348A">
              <w:rPr>
                <w:rFonts w:ascii="Arial" w:hAnsi="Arial" w:cs="Arial"/>
                <w:i/>
                <w:iCs/>
                <w:sz w:val="18"/>
                <w:szCs w:val="18"/>
              </w:rPr>
              <w:t>/or</w:t>
            </w:r>
            <w:r w:rsidRPr="0072348A">
              <w:rPr>
                <w:rFonts w:ascii="Arial" w:hAnsi="Arial" w:cs="Arial"/>
                <w:i/>
                <w:iCs/>
                <w:sz w:val="18"/>
                <w:szCs w:val="18"/>
              </w:rPr>
              <w:t xml:space="preserve"> dates of further expenditure qualifying for SBA.</w:t>
            </w:r>
          </w:p>
          <w:p w14:paraId="34090AD9" w14:textId="0A34CADF" w:rsidR="00F735CE" w:rsidRPr="001C44C1" w:rsidRDefault="00F735CE" w:rsidP="00F735CE">
            <w:pPr>
              <w:rPr>
                <w:rFonts w:ascii="Arial" w:hAnsi="Arial" w:cs="Arial"/>
                <w:sz w:val="18"/>
                <w:szCs w:val="18"/>
              </w:rPr>
            </w:pPr>
            <w:r w:rsidRPr="001C44C1">
              <w:rPr>
                <w:rFonts w:ascii="Arial" w:hAnsi="Arial" w:cs="Arial"/>
                <w:i/>
                <w:iCs/>
                <w:sz w:val="18"/>
                <w:szCs w:val="18"/>
              </w:rPr>
              <w:t xml:space="preserve">Note 24: </w:t>
            </w:r>
            <w:r w:rsidR="00227F77">
              <w:rPr>
                <w:rFonts w:ascii="Arial" w:hAnsi="Arial" w:cs="Arial"/>
                <w:i/>
                <w:iCs/>
                <w:sz w:val="18"/>
                <w:szCs w:val="18"/>
              </w:rPr>
              <w:t>t</w:t>
            </w:r>
            <w:r w:rsidRPr="001C44C1">
              <w:rPr>
                <w:rFonts w:ascii="Arial" w:hAnsi="Arial" w:cs="Arial"/>
                <w:i/>
                <w:iCs/>
                <w:sz w:val="18"/>
                <w:szCs w:val="18"/>
              </w:rPr>
              <w:t>he allowance will be available until 31 March 2023 for incorporated businesses and 5 April 2023 for unincorporated businesses.</w:t>
            </w:r>
          </w:p>
          <w:p w14:paraId="4CF3071C" w14:textId="7E5F1F9E" w:rsidR="00F735CE" w:rsidRDefault="00F735CE" w:rsidP="00F735CE">
            <w:pPr>
              <w:rPr>
                <w:rFonts w:ascii="Arial" w:hAnsi="Arial" w:cs="Arial"/>
                <w:i/>
                <w:iCs/>
                <w:sz w:val="18"/>
                <w:szCs w:val="18"/>
              </w:rPr>
            </w:pPr>
            <w:r w:rsidRPr="00A01088">
              <w:rPr>
                <w:rFonts w:ascii="Arial" w:hAnsi="Arial" w:cs="Arial"/>
                <w:i/>
                <w:iCs/>
                <w:sz w:val="18"/>
                <w:szCs w:val="18"/>
              </w:rPr>
              <w:t xml:space="preserve">Note 25: </w:t>
            </w:r>
            <w:r w:rsidR="00227F77" w:rsidRPr="00A01088">
              <w:rPr>
                <w:rFonts w:ascii="Arial" w:hAnsi="Arial" w:cs="Arial"/>
                <w:i/>
                <w:iCs/>
                <w:sz w:val="18"/>
                <w:szCs w:val="18"/>
              </w:rPr>
              <w:t>f</w:t>
            </w:r>
            <w:r w:rsidRPr="00A01088">
              <w:rPr>
                <w:rFonts w:ascii="Arial" w:hAnsi="Arial" w:cs="Arial"/>
                <w:i/>
                <w:iCs/>
                <w:sz w:val="18"/>
                <w:szCs w:val="18"/>
              </w:rPr>
              <w:t xml:space="preserve">rom 1 January 2019 the annual investment allowance is increased from £200,000 to £1m for investment made from 1 January 2019. This is temporarily extended until 31 </w:t>
            </w:r>
            <w:r w:rsidR="0077332E" w:rsidRPr="00A01088">
              <w:rPr>
                <w:rFonts w:ascii="Arial" w:hAnsi="Arial" w:cs="Arial"/>
                <w:i/>
                <w:iCs/>
                <w:sz w:val="18"/>
                <w:szCs w:val="18"/>
              </w:rPr>
              <w:t>March 2023</w:t>
            </w:r>
            <w:r w:rsidRPr="00A01088">
              <w:rPr>
                <w:rFonts w:ascii="Arial" w:hAnsi="Arial" w:cs="Arial"/>
                <w:i/>
                <w:iCs/>
                <w:sz w:val="18"/>
                <w:szCs w:val="18"/>
              </w:rPr>
              <w:t xml:space="preserve">. The threshold will revert back to £200,000 from 1 </w:t>
            </w:r>
            <w:r w:rsidR="00875514" w:rsidRPr="00A01088">
              <w:rPr>
                <w:rFonts w:ascii="Arial" w:hAnsi="Arial" w:cs="Arial"/>
                <w:i/>
                <w:iCs/>
                <w:sz w:val="18"/>
                <w:szCs w:val="18"/>
              </w:rPr>
              <w:t>April 2023</w:t>
            </w:r>
            <w:r w:rsidRPr="00A01088">
              <w:rPr>
                <w:rFonts w:ascii="Arial" w:hAnsi="Arial" w:cs="Arial"/>
                <w:i/>
                <w:iCs/>
                <w:sz w:val="18"/>
                <w:szCs w:val="18"/>
              </w:rPr>
              <w:t>.</w:t>
            </w:r>
          </w:p>
          <w:p w14:paraId="34EE1334" w14:textId="2264A061" w:rsidR="00F735CE" w:rsidRPr="008E49F5" w:rsidRDefault="00F735CE" w:rsidP="00F735CE">
            <w:pPr>
              <w:rPr>
                <w:rFonts w:ascii="Arial" w:hAnsi="Arial" w:cs="Arial"/>
                <w:sz w:val="19"/>
                <w:szCs w:val="19"/>
              </w:rPr>
            </w:pPr>
          </w:p>
        </w:tc>
      </w:tr>
      <w:tr w:rsidR="00F735CE" w:rsidRPr="00EF34F1" w14:paraId="138C9239" w14:textId="77777777" w:rsidTr="008F32D5">
        <w:trPr>
          <w:gridAfter w:val="1"/>
          <w:wAfter w:w="236" w:type="dxa"/>
          <w:trHeight w:val="330"/>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032AC8A4" w14:textId="6E365C17" w:rsidR="00F735CE" w:rsidRPr="00EF34F1" w:rsidRDefault="00F735CE" w:rsidP="00F735CE">
            <w:pPr>
              <w:rPr>
                <w:rFonts w:ascii="Arial" w:hAnsi="Arial" w:cs="Arial"/>
                <w:sz w:val="20"/>
                <w:szCs w:val="20"/>
              </w:rPr>
            </w:pPr>
            <w:r w:rsidRPr="00A01088">
              <w:rPr>
                <w:rFonts w:ascii="Arial" w:hAnsi="Arial" w:cs="Arial"/>
                <w:b/>
                <w:bCs/>
                <w:sz w:val="20"/>
                <w:szCs w:val="20"/>
              </w:rPr>
              <w:lastRenderedPageBreak/>
              <w:t>Research and development tax credit rates</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B5FFDE4" w14:textId="2CDFD049" w:rsidR="00F735CE" w:rsidRPr="00EF34F1" w:rsidRDefault="00F735CE" w:rsidP="00F735CE">
            <w:pPr>
              <w:jc w:val="right"/>
              <w:rPr>
                <w:rFonts w:ascii="Arial" w:hAnsi="Arial" w:cs="Arial"/>
                <w:b/>
                <w:bCs/>
                <w:sz w:val="24"/>
                <w:szCs w:val="24"/>
              </w:rPr>
            </w:pPr>
            <w:r>
              <w:rPr>
                <w:rFonts w:ascii="Arial" w:hAnsi="Arial" w:cs="Arial"/>
                <w:b/>
                <w:bCs/>
                <w:sz w:val="24"/>
                <w:szCs w:val="24"/>
              </w:rPr>
              <w:t>2022/23</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C9BE427" w14:textId="799E252B" w:rsidR="00F735CE" w:rsidRPr="00EF34F1" w:rsidRDefault="00F735CE" w:rsidP="00F735CE">
            <w:pPr>
              <w:jc w:val="right"/>
              <w:rPr>
                <w:rFonts w:ascii="Arial" w:hAnsi="Arial" w:cs="Arial"/>
                <w:b/>
                <w:bCs/>
                <w:sz w:val="24"/>
                <w:szCs w:val="24"/>
              </w:rPr>
            </w:pPr>
            <w:r>
              <w:rPr>
                <w:rFonts w:ascii="Arial" w:hAnsi="Arial" w:cs="Arial"/>
                <w:b/>
                <w:bCs/>
                <w:sz w:val="24"/>
                <w:szCs w:val="24"/>
              </w:rPr>
              <w:t>2021/22</w:t>
            </w:r>
          </w:p>
        </w:tc>
      </w:tr>
      <w:tr w:rsidR="00F735CE" w:rsidRPr="00EF34F1" w14:paraId="22550CB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956169B"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SME </w:t>
            </w:r>
            <w:r>
              <w:rPr>
                <w:rFonts w:ascii="Arial" w:hAnsi="Arial" w:cs="Arial"/>
                <w:sz w:val="20"/>
                <w:szCs w:val="20"/>
              </w:rPr>
              <w:t>r</w:t>
            </w:r>
            <w:r w:rsidRPr="00EF34F1">
              <w:rPr>
                <w:rFonts w:ascii="Arial" w:hAnsi="Arial" w:cs="Arial"/>
                <w:sz w:val="20"/>
                <w:szCs w:val="20"/>
              </w:rPr>
              <w:t>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56AE179E"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230%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FCCE408"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 230%</w:t>
            </w:r>
          </w:p>
        </w:tc>
      </w:tr>
      <w:tr w:rsidR="00F735CE" w:rsidRPr="00EF34F1" w14:paraId="66D319A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33D6254C" w14:textId="3EB230BD" w:rsidR="00F735CE" w:rsidRPr="00EF34F1" w:rsidRDefault="00F735CE" w:rsidP="00F735CE">
            <w:pPr>
              <w:rPr>
                <w:rFonts w:ascii="Arial" w:hAnsi="Arial" w:cs="Arial"/>
                <w:sz w:val="20"/>
                <w:szCs w:val="20"/>
              </w:rPr>
            </w:pPr>
            <w:r w:rsidRPr="00EF34F1">
              <w:rPr>
                <w:rFonts w:ascii="Arial" w:hAnsi="Arial" w:cs="Arial"/>
                <w:sz w:val="20"/>
                <w:szCs w:val="20"/>
              </w:rPr>
              <w:t>Research and development</w:t>
            </w:r>
            <w:r w:rsidR="00227F77">
              <w:rPr>
                <w:rFonts w:ascii="Arial" w:hAnsi="Arial" w:cs="Arial"/>
                <w:sz w:val="20"/>
                <w:szCs w:val="20"/>
              </w:rPr>
              <w:t xml:space="preserve"> (R&amp;D)</w:t>
            </w:r>
            <w:r w:rsidRPr="00EF34F1">
              <w:rPr>
                <w:rFonts w:ascii="Arial" w:hAnsi="Arial" w:cs="Arial"/>
                <w:sz w:val="20"/>
                <w:szCs w:val="20"/>
              </w:rPr>
              <w:t xml:space="preserve"> SME payable credit</w:t>
            </w:r>
            <w:r>
              <w:rPr>
                <w:rFonts w:ascii="Arial" w:hAnsi="Arial" w:cs="Arial"/>
                <w:sz w:val="20"/>
                <w:szCs w:val="20"/>
              </w:rPr>
              <w:t xml:space="preserve"> (note 26)</w:t>
            </w:r>
          </w:p>
        </w:tc>
        <w:tc>
          <w:tcPr>
            <w:tcW w:w="1842" w:type="dxa"/>
            <w:gridSpan w:val="4"/>
            <w:tcBorders>
              <w:top w:val="single" w:sz="4" w:space="0" w:color="auto"/>
              <w:left w:val="single" w:sz="4" w:space="0" w:color="auto"/>
              <w:bottom w:val="single" w:sz="4" w:space="0" w:color="auto"/>
              <w:right w:val="single" w:sz="4" w:space="0" w:color="auto"/>
            </w:tcBorders>
            <w:noWrap/>
          </w:tcPr>
          <w:p w14:paraId="3961936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14.5%</w:t>
            </w:r>
          </w:p>
        </w:tc>
        <w:tc>
          <w:tcPr>
            <w:tcW w:w="1705" w:type="dxa"/>
            <w:gridSpan w:val="2"/>
            <w:tcBorders>
              <w:top w:val="single" w:sz="4" w:space="0" w:color="auto"/>
              <w:left w:val="single" w:sz="4" w:space="0" w:color="auto"/>
              <w:bottom w:val="single" w:sz="4" w:space="0" w:color="auto"/>
              <w:right w:val="single" w:sz="4" w:space="0" w:color="auto"/>
            </w:tcBorders>
            <w:noWrap/>
          </w:tcPr>
          <w:p w14:paraId="6F609222"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14.5%</w:t>
            </w:r>
          </w:p>
        </w:tc>
      </w:tr>
      <w:tr w:rsidR="00F735CE" w:rsidRPr="00EF34F1" w14:paraId="599689B7"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B8B62A6"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Research and development expenditure credit (RDEC) scheme </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544B61"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13%</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5DC903E"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 13%</w:t>
            </w:r>
          </w:p>
        </w:tc>
      </w:tr>
      <w:tr w:rsidR="00F735CE" w:rsidRPr="00EF34F1" w14:paraId="20303D8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7F2E2098" w14:textId="4E7F6509" w:rsidR="00F735CE" w:rsidRPr="00EF34F1" w:rsidRDefault="00F735CE" w:rsidP="00F735CE">
            <w:pPr>
              <w:rPr>
                <w:rFonts w:ascii="Arial" w:hAnsi="Arial" w:cs="Arial"/>
                <w:sz w:val="20"/>
                <w:szCs w:val="20"/>
              </w:rPr>
            </w:pPr>
            <w:r w:rsidRPr="00EF34F1">
              <w:rPr>
                <w:rFonts w:ascii="Arial" w:hAnsi="Arial" w:cs="Arial"/>
                <w:sz w:val="20"/>
                <w:szCs w:val="20"/>
              </w:rPr>
              <w:t>Film</w:t>
            </w:r>
            <w:r w:rsidR="00FB4AE7">
              <w:rPr>
                <w:rFonts w:ascii="Arial" w:hAnsi="Arial" w:cs="Arial"/>
                <w:sz w:val="20"/>
                <w:szCs w:val="20"/>
              </w:rPr>
              <w:t xml:space="preserve"> </w:t>
            </w:r>
            <w:r w:rsidR="00227F77">
              <w:rPr>
                <w:rFonts w:ascii="Arial" w:hAnsi="Arial" w:cs="Arial"/>
                <w:sz w:val="20"/>
                <w:szCs w:val="20"/>
              </w:rPr>
              <w:t>/</w:t>
            </w:r>
            <w:r w:rsidR="00FB4AE7">
              <w:rPr>
                <w:rFonts w:ascii="Arial" w:hAnsi="Arial" w:cs="Arial"/>
                <w:sz w:val="20"/>
                <w:szCs w:val="20"/>
              </w:rPr>
              <w:t xml:space="preserve"> </w:t>
            </w:r>
            <w:r w:rsidR="00227F77">
              <w:rPr>
                <w:rFonts w:ascii="Arial" w:hAnsi="Arial" w:cs="Arial"/>
                <w:sz w:val="20"/>
                <w:szCs w:val="20"/>
              </w:rPr>
              <w:t>h</w:t>
            </w:r>
            <w:r w:rsidRPr="00EF34F1">
              <w:rPr>
                <w:rFonts w:ascii="Arial" w:hAnsi="Arial" w:cs="Arial"/>
                <w:sz w:val="20"/>
                <w:szCs w:val="20"/>
              </w:rPr>
              <w:t>igh-end TV</w:t>
            </w:r>
            <w:r w:rsidR="00FB4AE7">
              <w:rPr>
                <w:rFonts w:ascii="Arial" w:hAnsi="Arial" w:cs="Arial"/>
                <w:sz w:val="20"/>
                <w:szCs w:val="20"/>
              </w:rPr>
              <w:t xml:space="preserve"> </w:t>
            </w:r>
            <w:r w:rsidR="00227F77">
              <w:rPr>
                <w:rFonts w:ascii="Arial" w:hAnsi="Arial" w:cs="Arial"/>
                <w:sz w:val="20"/>
                <w:szCs w:val="20"/>
              </w:rPr>
              <w:t>/</w:t>
            </w:r>
            <w:r w:rsidR="00FB4AE7">
              <w:rPr>
                <w:rFonts w:ascii="Arial" w:hAnsi="Arial" w:cs="Arial"/>
                <w:sz w:val="20"/>
                <w:szCs w:val="20"/>
              </w:rPr>
              <w:t xml:space="preserve"> </w:t>
            </w:r>
            <w:r>
              <w:rPr>
                <w:rFonts w:ascii="Arial" w:hAnsi="Arial" w:cs="Arial"/>
                <w:sz w:val="20"/>
                <w:szCs w:val="20"/>
              </w:rPr>
              <w:t>v</w:t>
            </w:r>
            <w:r w:rsidRPr="00EF34F1">
              <w:rPr>
                <w:rFonts w:ascii="Arial" w:hAnsi="Arial" w:cs="Arial"/>
                <w:sz w:val="20"/>
                <w:szCs w:val="20"/>
              </w:rPr>
              <w:t xml:space="preserve">ideogames tax credit </w:t>
            </w:r>
          </w:p>
        </w:tc>
        <w:tc>
          <w:tcPr>
            <w:tcW w:w="1842" w:type="dxa"/>
            <w:gridSpan w:val="4"/>
            <w:tcBorders>
              <w:top w:val="single" w:sz="4" w:space="0" w:color="auto"/>
              <w:left w:val="single" w:sz="4" w:space="0" w:color="auto"/>
              <w:bottom w:val="single" w:sz="4" w:space="0" w:color="auto"/>
              <w:right w:val="single" w:sz="4" w:space="0" w:color="auto"/>
            </w:tcBorders>
            <w:noWrap/>
          </w:tcPr>
          <w:p w14:paraId="27A575BC"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25%</w:t>
            </w:r>
          </w:p>
        </w:tc>
        <w:tc>
          <w:tcPr>
            <w:tcW w:w="1705" w:type="dxa"/>
            <w:gridSpan w:val="2"/>
            <w:tcBorders>
              <w:top w:val="single" w:sz="4" w:space="0" w:color="auto"/>
              <w:left w:val="single" w:sz="4" w:space="0" w:color="auto"/>
              <w:bottom w:val="single" w:sz="4" w:space="0" w:color="auto"/>
              <w:right w:val="single" w:sz="4" w:space="0" w:color="auto"/>
            </w:tcBorders>
            <w:noWrap/>
          </w:tcPr>
          <w:p w14:paraId="11A2735C"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25%</w:t>
            </w:r>
          </w:p>
        </w:tc>
      </w:tr>
      <w:tr w:rsidR="00F735CE" w:rsidRPr="00EF34F1" w14:paraId="1F65C51C"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75B54B37" w14:textId="77777777" w:rsidR="00F735CE" w:rsidRPr="00EF34F1" w:rsidRDefault="00F735CE" w:rsidP="00F735CE">
            <w:pPr>
              <w:rPr>
                <w:rFonts w:ascii="Arial" w:hAnsi="Arial" w:cs="Arial"/>
                <w:sz w:val="20"/>
                <w:szCs w:val="20"/>
              </w:rPr>
            </w:pPr>
            <w:r w:rsidRPr="00EF34F1">
              <w:rPr>
                <w:rFonts w:ascii="Arial" w:hAnsi="Arial" w:cs="Arial"/>
                <w:sz w:val="20"/>
                <w:szCs w:val="20"/>
              </w:rPr>
              <w:t>Open</w:t>
            </w:r>
            <w:r>
              <w:rPr>
                <w:rFonts w:ascii="Arial" w:hAnsi="Arial" w:cs="Arial"/>
                <w:sz w:val="20"/>
                <w:szCs w:val="20"/>
              </w:rPr>
              <w:t>-</w:t>
            </w:r>
            <w:r w:rsidRPr="00EF34F1">
              <w:rPr>
                <w:rFonts w:ascii="Arial" w:hAnsi="Arial" w:cs="Arial"/>
                <w:sz w:val="20"/>
                <w:szCs w:val="20"/>
              </w:rPr>
              <w:t>ended investment companies and authorised unit trusts</w:t>
            </w:r>
          </w:p>
        </w:tc>
        <w:tc>
          <w:tcPr>
            <w:tcW w:w="1842" w:type="dxa"/>
            <w:gridSpan w:val="4"/>
            <w:tcBorders>
              <w:top w:val="single" w:sz="4" w:space="0" w:color="auto"/>
              <w:left w:val="single" w:sz="4" w:space="0" w:color="auto"/>
              <w:bottom w:val="single" w:sz="4" w:space="0" w:color="auto"/>
              <w:right w:val="single" w:sz="4" w:space="0" w:color="auto"/>
            </w:tcBorders>
            <w:noWrap/>
          </w:tcPr>
          <w:p w14:paraId="471381C1"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tcPr>
          <w:p w14:paraId="52659DDB" w14:textId="77777777" w:rsidR="00F735CE" w:rsidRPr="00C4631A" w:rsidRDefault="00F735CE" w:rsidP="00F735CE">
            <w:pPr>
              <w:jc w:val="right"/>
              <w:rPr>
                <w:rFonts w:ascii="Arial" w:hAnsi="Arial" w:cs="Arial"/>
                <w:sz w:val="20"/>
                <w:szCs w:val="20"/>
              </w:rPr>
            </w:pPr>
            <w:r w:rsidRPr="00C4631A">
              <w:rPr>
                <w:rFonts w:ascii="Arial" w:hAnsi="Arial" w:cs="Arial"/>
                <w:sz w:val="20"/>
                <w:szCs w:val="20"/>
              </w:rPr>
              <w:t>20%</w:t>
            </w:r>
          </w:p>
        </w:tc>
      </w:tr>
      <w:tr w:rsidR="00F735CE" w:rsidRPr="00EF34F1" w14:paraId="0E39EFB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7C1D61B2" w14:textId="1FC577D0" w:rsidR="00F735CE" w:rsidRPr="00875514" w:rsidRDefault="00F735CE" w:rsidP="00F735CE">
            <w:pPr>
              <w:spacing w:after="160" w:line="259" w:lineRule="auto"/>
              <w:rPr>
                <w:rFonts w:ascii="Arial" w:hAnsi="Arial" w:cs="Arial"/>
                <w:i/>
                <w:iCs/>
                <w:sz w:val="20"/>
                <w:szCs w:val="20"/>
              </w:rPr>
            </w:pPr>
            <w:r w:rsidRPr="00875514">
              <w:rPr>
                <w:rFonts w:ascii="Arial" w:hAnsi="Arial" w:cs="Arial"/>
                <w:i/>
                <w:iCs/>
                <w:sz w:val="18"/>
                <w:szCs w:val="18"/>
              </w:rPr>
              <w:t xml:space="preserve">Note 26: </w:t>
            </w:r>
            <w:r w:rsidR="00227F77">
              <w:rPr>
                <w:rFonts w:ascii="Arial" w:hAnsi="Arial" w:cs="Arial"/>
                <w:i/>
                <w:iCs/>
                <w:sz w:val="18"/>
                <w:szCs w:val="18"/>
              </w:rPr>
              <w:t>f</w:t>
            </w:r>
            <w:r w:rsidRPr="00875514">
              <w:rPr>
                <w:rFonts w:ascii="Arial" w:hAnsi="Arial" w:cs="Arial"/>
                <w:i/>
                <w:iCs/>
                <w:sz w:val="18"/>
                <w:szCs w:val="18"/>
              </w:rPr>
              <w:t>or accounting periods beginning on or after 1 April 2021, the amount of SME payable R&amp;D tax credit that a business can receive in any one year will be capped at £20,000 plus three times the company’s total PAYE and NICs liability.</w:t>
            </w:r>
          </w:p>
        </w:tc>
      </w:tr>
      <w:tr w:rsidR="00F735CE" w:rsidRPr="00EF34F1" w14:paraId="43CD3B4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1E4781E4"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 xml:space="preserve">Patent </w:t>
            </w:r>
            <w:r>
              <w:rPr>
                <w:rFonts w:ascii="Arial" w:hAnsi="Arial" w:cs="Arial"/>
                <w:b/>
                <w:bCs/>
                <w:sz w:val="20"/>
                <w:szCs w:val="20"/>
              </w:rPr>
              <w:t>b</w:t>
            </w:r>
            <w:r w:rsidRPr="00EF34F1">
              <w:rPr>
                <w:rFonts w:ascii="Arial" w:hAnsi="Arial" w:cs="Arial"/>
                <w:b/>
                <w:bCs/>
                <w:sz w:val="20"/>
                <w:szCs w:val="20"/>
              </w:rPr>
              <w:t>ox</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84EBC94" w14:textId="77777777" w:rsidR="00F735CE" w:rsidRPr="00875514" w:rsidRDefault="00F735CE" w:rsidP="00F735CE">
            <w:pPr>
              <w:jc w:val="right"/>
              <w:rPr>
                <w:rFonts w:ascii="Arial" w:hAnsi="Arial" w:cs="Arial"/>
                <w:b/>
                <w:bCs/>
                <w:sz w:val="20"/>
                <w:szCs w:val="20"/>
              </w:rPr>
            </w:pPr>
            <w:r w:rsidRPr="00875514">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FA54ECF" w14:textId="77777777" w:rsidR="00F735CE" w:rsidRPr="00EF34F1" w:rsidRDefault="00F735CE" w:rsidP="00F735CE">
            <w:pPr>
              <w:jc w:val="right"/>
              <w:rPr>
                <w:rFonts w:ascii="Arial" w:hAnsi="Arial" w:cs="Arial"/>
                <w:b/>
                <w:bCs/>
                <w:sz w:val="20"/>
                <w:szCs w:val="20"/>
              </w:rPr>
            </w:pPr>
            <w:r w:rsidRPr="00EF34F1">
              <w:rPr>
                <w:rFonts w:ascii="Arial" w:hAnsi="Arial" w:cs="Arial"/>
                <w:b/>
                <w:bCs/>
                <w:sz w:val="20"/>
                <w:szCs w:val="20"/>
              </w:rPr>
              <w:t> </w:t>
            </w:r>
          </w:p>
        </w:tc>
      </w:tr>
      <w:tr w:rsidR="00F735CE" w:rsidRPr="00EF34F1" w14:paraId="4799757D"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3672792" w14:textId="77777777" w:rsidR="00F735CE" w:rsidRPr="00EF34F1" w:rsidRDefault="00F735CE" w:rsidP="00F735CE">
            <w:pPr>
              <w:rPr>
                <w:rFonts w:ascii="Arial" w:hAnsi="Arial" w:cs="Arial"/>
                <w:sz w:val="20"/>
                <w:szCs w:val="20"/>
              </w:rPr>
            </w:pPr>
            <w:r w:rsidRPr="00EF34F1">
              <w:rPr>
                <w:rFonts w:ascii="Arial" w:hAnsi="Arial" w:cs="Arial"/>
                <w:sz w:val="20"/>
                <w:szCs w:val="20"/>
              </w:rPr>
              <w:t xml:space="preserve">Patent box </w:t>
            </w:r>
          </w:p>
        </w:tc>
        <w:tc>
          <w:tcPr>
            <w:tcW w:w="1842" w:type="dxa"/>
            <w:gridSpan w:val="4"/>
            <w:tcBorders>
              <w:top w:val="single" w:sz="4" w:space="0" w:color="auto"/>
              <w:left w:val="single" w:sz="4" w:space="0" w:color="auto"/>
              <w:bottom w:val="single" w:sz="4" w:space="0" w:color="auto"/>
              <w:right w:val="single" w:sz="4" w:space="0" w:color="auto"/>
            </w:tcBorders>
            <w:hideMark/>
          </w:tcPr>
          <w:p w14:paraId="1765E8A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10%</w:t>
            </w:r>
          </w:p>
        </w:tc>
        <w:tc>
          <w:tcPr>
            <w:tcW w:w="1705" w:type="dxa"/>
            <w:gridSpan w:val="2"/>
            <w:tcBorders>
              <w:top w:val="single" w:sz="4" w:space="0" w:color="auto"/>
              <w:left w:val="single" w:sz="4" w:space="0" w:color="auto"/>
              <w:bottom w:val="single" w:sz="4" w:space="0" w:color="auto"/>
              <w:right w:val="single" w:sz="4" w:space="0" w:color="auto"/>
            </w:tcBorders>
            <w:hideMark/>
          </w:tcPr>
          <w:p w14:paraId="3B9B15A0" w14:textId="77777777" w:rsidR="00F735CE" w:rsidRPr="00EF34F1" w:rsidRDefault="00F735CE" w:rsidP="00F735CE">
            <w:pPr>
              <w:jc w:val="right"/>
              <w:rPr>
                <w:rFonts w:ascii="Arial" w:hAnsi="Arial" w:cs="Arial"/>
                <w:sz w:val="20"/>
                <w:szCs w:val="20"/>
              </w:rPr>
            </w:pPr>
            <w:r w:rsidRPr="00DF0E8A">
              <w:rPr>
                <w:rFonts w:ascii="Arial" w:hAnsi="Arial" w:cs="Arial"/>
                <w:sz w:val="20"/>
                <w:szCs w:val="20"/>
              </w:rPr>
              <w:t>10%</w:t>
            </w:r>
          </w:p>
        </w:tc>
      </w:tr>
      <w:tr w:rsidR="00F735CE" w:rsidRPr="00EF34F1" w14:paraId="4372110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653D187F"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VAT</w:t>
            </w:r>
          </w:p>
        </w:tc>
        <w:tc>
          <w:tcPr>
            <w:tcW w:w="1842"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73E1A30A" w14:textId="77777777" w:rsidR="00F735CE" w:rsidRPr="00875514" w:rsidRDefault="00F735CE" w:rsidP="00F735CE">
            <w:pPr>
              <w:jc w:val="right"/>
              <w:rPr>
                <w:rFonts w:ascii="Arial" w:hAnsi="Arial" w:cs="Arial"/>
                <w:b/>
                <w:bCs/>
                <w:sz w:val="20"/>
                <w:szCs w:val="20"/>
              </w:rPr>
            </w:pPr>
            <w:r w:rsidRPr="00875514">
              <w:rPr>
                <w:rFonts w:ascii="Arial" w:hAnsi="Arial" w:cs="Arial"/>
                <w:b/>
                <w:bCs/>
                <w:sz w:val="20"/>
                <w:szCs w:val="20"/>
              </w:rPr>
              <w:t> </w:t>
            </w:r>
          </w:p>
        </w:tc>
        <w:tc>
          <w:tcPr>
            <w:tcW w:w="1705"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3238ADD8" w14:textId="77777777" w:rsidR="00F735CE" w:rsidRPr="00EF34F1" w:rsidRDefault="00F735CE" w:rsidP="00F735CE">
            <w:pPr>
              <w:jc w:val="right"/>
              <w:rPr>
                <w:rFonts w:ascii="Arial" w:hAnsi="Arial" w:cs="Arial"/>
                <w:b/>
                <w:bCs/>
                <w:sz w:val="20"/>
                <w:szCs w:val="20"/>
              </w:rPr>
            </w:pPr>
            <w:r w:rsidRPr="00EF34F1">
              <w:rPr>
                <w:rFonts w:ascii="Arial" w:hAnsi="Arial" w:cs="Arial"/>
                <w:b/>
                <w:bCs/>
                <w:sz w:val="20"/>
                <w:szCs w:val="20"/>
              </w:rPr>
              <w:t> </w:t>
            </w:r>
          </w:p>
        </w:tc>
      </w:tr>
      <w:tr w:rsidR="00F735CE" w:rsidRPr="00EF34F1" w14:paraId="3447DBB8"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0A0355E4" w14:textId="5735ADC4" w:rsidR="00F735CE" w:rsidRPr="00EF34F1" w:rsidRDefault="00F735CE" w:rsidP="00F735CE">
            <w:pPr>
              <w:rPr>
                <w:rFonts w:ascii="Arial" w:hAnsi="Arial" w:cs="Arial"/>
                <w:sz w:val="20"/>
                <w:szCs w:val="20"/>
              </w:rPr>
            </w:pPr>
            <w:r w:rsidRPr="00EF34F1">
              <w:rPr>
                <w:rFonts w:ascii="Arial" w:hAnsi="Arial" w:cs="Arial"/>
                <w:sz w:val="20"/>
                <w:szCs w:val="20"/>
              </w:rPr>
              <w:t>Standard rate</w:t>
            </w:r>
            <w:r>
              <w:rPr>
                <w:rFonts w:ascii="Arial" w:hAnsi="Arial" w:cs="Arial"/>
                <w:sz w:val="20"/>
                <w:szCs w:val="20"/>
              </w:rPr>
              <w:t xml:space="preserve"> </w:t>
            </w:r>
            <w:r w:rsidRPr="00800DB0">
              <w:rPr>
                <w:rFonts w:ascii="Arial" w:hAnsi="Arial" w:cs="Arial"/>
                <w:sz w:val="20"/>
                <w:szCs w:val="20"/>
              </w:rPr>
              <w:t>(note 2</w:t>
            </w:r>
            <w:r>
              <w:rPr>
                <w:rFonts w:ascii="Arial" w:hAnsi="Arial" w:cs="Arial"/>
                <w:sz w:val="20"/>
                <w:szCs w:val="20"/>
              </w:rPr>
              <w:t>7</w:t>
            </w:r>
            <w:r w:rsidRPr="00800DB0">
              <w:rPr>
                <w:rFonts w:ascii="Arial" w:hAnsi="Arial" w:cs="Arial"/>
                <w:sz w:val="20"/>
                <w:szCs w:val="20"/>
              </w:rPr>
              <w:t>)</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3D02CF5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20%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FD90955"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20%</w:t>
            </w:r>
          </w:p>
        </w:tc>
      </w:tr>
      <w:tr w:rsidR="00F735CE" w:rsidRPr="00EF34F1" w14:paraId="4B65B7EB"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43C4F384" w14:textId="77777777" w:rsidR="00F735CE" w:rsidRPr="00EF34F1" w:rsidRDefault="00F735CE" w:rsidP="00F735CE">
            <w:pPr>
              <w:rPr>
                <w:rFonts w:ascii="Arial" w:hAnsi="Arial" w:cs="Arial"/>
                <w:sz w:val="20"/>
                <w:szCs w:val="20"/>
              </w:rPr>
            </w:pPr>
            <w:r w:rsidRPr="00EF34F1">
              <w:rPr>
                <w:rFonts w:ascii="Arial" w:hAnsi="Arial" w:cs="Arial"/>
                <w:sz w:val="20"/>
                <w:szCs w:val="20"/>
              </w:rPr>
              <w:t>Reduced 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75BEE857"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5%</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7E44632"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5%</w:t>
            </w:r>
          </w:p>
        </w:tc>
      </w:tr>
      <w:tr w:rsidR="00F735CE" w:rsidRPr="00EF34F1" w14:paraId="1B973325"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84D7E5A" w14:textId="77777777" w:rsidR="00F735CE" w:rsidRPr="00EF34F1" w:rsidRDefault="00F735CE" w:rsidP="00F735CE">
            <w:pPr>
              <w:rPr>
                <w:rFonts w:ascii="Arial" w:hAnsi="Arial" w:cs="Arial"/>
                <w:sz w:val="20"/>
                <w:szCs w:val="20"/>
              </w:rPr>
            </w:pPr>
            <w:r w:rsidRPr="00EF34F1">
              <w:rPr>
                <w:rFonts w:ascii="Arial" w:hAnsi="Arial" w:cs="Arial"/>
                <w:sz w:val="20"/>
                <w:szCs w:val="20"/>
              </w:rPr>
              <w:t>Zero rate</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FF4FD3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4A2FB80"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0%</w:t>
            </w:r>
          </w:p>
        </w:tc>
      </w:tr>
      <w:tr w:rsidR="00F735CE" w:rsidRPr="00EF34F1" w14:paraId="493D6110"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tcPr>
          <w:p w14:paraId="1291DD86" w14:textId="77777777" w:rsidR="00F735CE" w:rsidRPr="00EF34F1" w:rsidRDefault="00F735CE" w:rsidP="00F735CE">
            <w:pPr>
              <w:rPr>
                <w:rFonts w:ascii="Arial" w:hAnsi="Arial" w:cs="Arial"/>
                <w:sz w:val="20"/>
                <w:szCs w:val="20"/>
              </w:rPr>
            </w:pPr>
            <w:r w:rsidRPr="00EF34F1">
              <w:rPr>
                <w:rFonts w:ascii="Arial" w:hAnsi="Arial" w:cs="Arial"/>
                <w:sz w:val="20"/>
                <w:szCs w:val="20"/>
              </w:rPr>
              <w:t>Flat rate of VAT on gross turnover (</w:t>
            </w:r>
            <w:r>
              <w:rPr>
                <w:rFonts w:ascii="Arial" w:hAnsi="Arial" w:cs="Arial"/>
                <w:sz w:val="20"/>
                <w:szCs w:val="20"/>
              </w:rPr>
              <w:t>f</w:t>
            </w:r>
            <w:r w:rsidRPr="00EF34F1">
              <w:rPr>
                <w:rFonts w:ascii="Arial" w:hAnsi="Arial" w:cs="Arial"/>
                <w:sz w:val="20"/>
                <w:szCs w:val="20"/>
              </w:rPr>
              <w:t xml:space="preserve">or </w:t>
            </w:r>
            <w:r>
              <w:rPr>
                <w:rFonts w:ascii="Arial" w:hAnsi="Arial" w:cs="Arial"/>
                <w:sz w:val="20"/>
                <w:szCs w:val="20"/>
              </w:rPr>
              <w:t>l</w:t>
            </w:r>
            <w:r w:rsidRPr="00EF34F1">
              <w:rPr>
                <w:rFonts w:ascii="Arial" w:hAnsi="Arial" w:cs="Arial"/>
                <w:sz w:val="20"/>
                <w:szCs w:val="20"/>
              </w:rPr>
              <w:t xml:space="preserve">imited </w:t>
            </w:r>
            <w:r>
              <w:rPr>
                <w:rFonts w:ascii="Arial" w:hAnsi="Arial" w:cs="Arial"/>
                <w:sz w:val="20"/>
                <w:szCs w:val="20"/>
              </w:rPr>
              <w:t>c</w:t>
            </w:r>
            <w:r w:rsidRPr="00EF34F1">
              <w:rPr>
                <w:rFonts w:ascii="Arial" w:hAnsi="Arial" w:cs="Arial"/>
                <w:sz w:val="20"/>
                <w:szCs w:val="20"/>
              </w:rPr>
              <w:t xml:space="preserve">ost </w:t>
            </w:r>
            <w:r>
              <w:rPr>
                <w:rFonts w:ascii="Arial" w:hAnsi="Arial" w:cs="Arial"/>
                <w:sz w:val="20"/>
                <w:szCs w:val="20"/>
              </w:rPr>
              <w:t>t</w:t>
            </w:r>
            <w:r w:rsidRPr="00EF34F1">
              <w:rPr>
                <w:rFonts w:ascii="Arial" w:hAnsi="Arial" w:cs="Arial"/>
                <w:sz w:val="20"/>
                <w:szCs w:val="20"/>
              </w:rPr>
              <w:t>rader)</w:t>
            </w:r>
          </w:p>
        </w:tc>
        <w:tc>
          <w:tcPr>
            <w:tcW w:w="1842" w:type="dxa"/>
            <w:gridSpan w:val="4"/>
            <w:tcBorders>
              <w:top w:val="single" w:sz="4" w:space="0" w:color="auto"/>
              <w:left w:val="single" w:sz="4" w:space="0" w:color="auto"/>
              <w:bottom w:val="single" w:sz="4" w:space="0" w:color="auto"/>
              <w:right w:val="single" w:sz="4" w:space="0" w:color="auto"/>
            </w:tcBorders>
            <w:noWrap/>
          </w:tcPr>
          <w:p w14:paraId="00EC114F"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16.5%</w:t>
            </w:r>
          </w:p>
        </w:tc>
        <w:tc>
          <w:tcPr>
            <w:tcW w:w="1705" w:type="dxa"/>
            <w:gridSpan w:val="2"/>
            <w:tcBorders>
              <w:top w:val="single" w:sz="4" w:space="0" w:color="auto"/>
              <w:left w:val="single" w:sz="4" w:space="0" w:color="auto"/>
              <w:bottom w:val="single" w:sz="4" w:space="0" w:color="auto"/>
              <w:right w:val="single" w:sz="4" w:space="0" w:color="auto"/>
            </w:tcBorders>
            <w:noWrap/>
          </w:tcPr>
          <w:p w14:paraId="7B60BCF1"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16.5%</w:t>
            </w:r>
          </w:p>
        </w:tc>
      </w:tr>
      <w:tr w:rsidR="00F735CE" w:rsidRPr="00EF34F1" w14:paraId="4FF744E4"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2C17D66" w14:textId="77777777" w:rsidR="00F735CE" w:rsidRPr="00EF34F1" w:rsidRDefault="00F735CE" w:rsidP="00F735CE">
            <w:pPr>
              <w:rPr>
                <w:rFonts w:ascii="Arial" w:hAnsi="Arial" w:cs="Arial"/>
                <w:sz w:val="20"/>
                <w:szCs w:val="20"/>
              </w:rPr>
            </w:pPr>
            <w:r w:rsidRPr="00EF34F1">
              <w:rPr>
                <w:rFonts w:ascii="Arial" w:hAnsi="Arial" w:cs="Arial"/>
                <w:sz w:val="20"/>
                <w:szCs w:val="20"/>
              </w:rPr>
              <w:t>Normal scheme registration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3F4A30B"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£85,000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3B1FD9E7"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£85,000</w:t>
            </w:r>
          </w:p>
        </w:tc>
      </w:tr>
      <w:tr w:rsidR="00F735CE" w:rsidRPr="00EF34F1" w14:paraId="5A63B156"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C1AADBA" w14:textId="77777777" w:rsidR="00F735CE" w:rsidRPr="00EF34F1" w:rsidRDefault="00F735CE" w:rsidP="00F735CE">
            <w:pPr>
              <w:rPr>
                <w:rFonts w:ascii="Arial" w:hAnsi="Arial" w:cs="Arial"/>
                <w:sz w:val="20"/>
                <w:szCs w:val="20"/>
              </w:rPr>
            </w:pPr>
            <w:r w:rsidRPr="00EF34F1">
              <w:rPr>
                <w:rFonts w:ascii="Arial" w:hAnsi="Arial" w:cs="Arial"/>
                <w:sz w:val="20"/>
                <w:szCs w:val="20"/>
              </w:rPr>
              <w:t>Deregistration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06879CAE"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£83,000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1B92661A"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£83,000</w:t>
            </w:r>
          </w:p>
        </w:tc>
      </w:tr>
      <w:tr w:rsidR="00F735CE" w:rsidRPr="00EF34F1" w14:paraId="10AD79AA"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3D970B6E" w14:textId="022E759A" w:rsidR="00F735CE" w:rsidRPr="00EF34F1" w:rsidRDefault="00F735CE" w:rsidP="00F735CE">
            <w:pPr>
              <w:rPr>
                <w:rFonts w:ascii="Arial" w:hAnsi="Arial" w:cs="Arial"/>
                <w:sz w:val="20"/>
                <w:szCs w:val="20"/>
              </w:rPr>
            </w:pPr>
            <w:r w:rsidRPr="00EF34F1">
              <w:rPr>
                <w:rFonts w:ascii="Arial" w:hAnsi="Arial" w:cs="Arial"/>
                <w:sz w:val="20"/>
                <w:szCs w:val="20"/>
              </w:rPr>
              <w:t xml:space="preserve">Cash </w:t>
            </w:r>
            <w:r>
              <w:rPr>
                <w:rFonts w:ascii="Arial" w:hAnsi="Arial" w:cs="Arial"/>
                <w:sz w:val="20"/>
                <w:szCs w:val="20"/>
              </w:rPr>
              <w:t xml:space="preserve">and </w:t>
            </w:r>
            <w:r w:rsidR="00227F77">
              <w:rPr>
                <w:rFonts w:ascii="Arial" w:hAnsi="Arial" w:cs="Arial"/>
                <w:sz w:val="20"/>
                <w:szCs w:val="20"/>
              </w:rPr>
              <w:t>a</w:t>
            </w:r>
            <w:r>
              <w:rPr>
                <w:rFonts w:ascii="Arial" w:hAnsi="Arial" w:cs="Arial"/>
                <w:sz w:val="20"/>
                <w:szCs w:val="20"/>
              </w:rPr>
              <w:t xml:space="preserve">nnual </w:t>
            </w:r>
            <w:r w:rsidRPr="00EF34F1">
              <w:rPr>
                <w:rFonts w:ascii="Arial" w:hAnsi="Arial" w:cs="Arial"/>
                <w:sz w:val="20"/>
                <w:szCs w:val="20"/>
              </w:rPr>
              <w:t xml:space="preserve">accounting scheme </w:t>
            </w:r>
            <w:r>
              <w:rPr>
                <w:rFonts w:ascii="Arial" w:hAnsi="Arial" w:cs="Arial"/>
                <w:sz w:val="20"/>
                <w:szCs w:val="20"/>
              </w:rPr>
              <w:t xml:space="preserve">– </w:t>
            </w:r>
            <w:r w:rsidRPr="00EF34F1">
              <w:rPr>
                <w:rFonts w:ascii="Arial" w:hAnsi="Arial" w:cs="Arial"/>
                <w:sz w:val="20"/>
                <w:szCs w:val="20"/>
              </w:rPr>
              <w:t>maximum to join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69E56F9"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£1,350,000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637B6A64"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£1,350,000</w:t>
            </w:r>
          </w:p>
        </w:tc>
      </w:tr>
      <w:tr w:rsidR="00F735CE" w:rsidRPr="00EF34F1" w14:paraId="320AA4BF"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6A21217B" w14:textId="1236C34B" w:rsidR="00F735CE" w:rsidRPr="00EF34F1" w:rsidRDefault="00F735CE" w:rsidP="00F735CE">
            <w:pPr>
              <w:rPr>
                <w:rFonts w:ascii="Arial" w:hAnsi="Arial" w:cs="Arial"/>
                <w:sz w:val="20"/>
                <w:szCs w:val="20"/>
              </w:rPr>
            </w:pPr>
            <w:r w:rsidRPr="00EF34F1">
              <w:rPr>
                <w:rFonts w:ascii="Arial" w:hAnsi="Arial" w:cs="Arial"/>
                <w:sz w:val="20"/>
                <w:szCs w:val="20"/>
              </w:rPr>
              <w:t xml:space="preserve">Cash </w:t>
            </w:r>
            <w:r>
              <w:rPr>
                <w:rFonts w:ascii="Arial" w:hAnsi="Arial" w:cs="Arial"/>
                <w:sz w:val="20"/>
                <w:szCs w:val="20"/>
              </w:rPr>
              <w:t xml:space="preserve">and </w:t>
            </w:r>
            <w:r w:rsidR="00227F77">
              <w:rPr>
                <w:rFonts w:ascii="Arial" w:hAnsi="Arial" w:cs="Arial"/>
                <w:sz w:val="20"/>
                <w:szCs w:val="20"/>
              </w:rPr>
              <w:t>a</w:t>
            </w:r>
            <w:r>
              <w:rPr>
                <w:rFonts w:ascii="Arial" w:hAnsi="Arial" w:cs="Arial"/>
                <w:sz w:val="20"/>
                <w:szCs w:val="20"/>
              </w:rPr>
              <w:t xml:space="preserve">nnual </w:t>
            </w:r>
            <w:r w:rsidRPr="00EF34F1">
              <w:rPr>
                <w:rFonts w:ascii="Arial" w:hAnsi="Arial" w:cs="Arial"/>
                <w:sz w:val="20"/>
                <w:szCs w:val="20"/>
              </w:rPr>
              <w:t xml:space="preserve">accounting scheme </w:t>
            </w:r>
            <w:r>
              <w:rPr>
                <w:rFonts w:ascii="Arial" w:hAnsi="Arial" w:cs="Arial"/>
                <w:sz w:val="20"/>
                <w:szCs w:val="20"/>
              </w:rPr>
              <w:t>–</w:t>
            </w:r>
            <w:r w:rsidRPr="00EF34F1">
              <w:rPr>
                <w:rFonts w:ascii="Arial" w:hAnsi="Arial" w:cs="Arial"/>
                <w:sz w:val="20"/>
                <w:szCs w:val="20"/>
              </w:rPr>
              <w:t xml:space="preserve"> exit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140E6AC4"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£1,600,000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08229715"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£1,600,000</w:t>
            </w:r>
          </w:p>
        </w:tc>
      </w:tr>
      <w:tr w:rsidR="00F735CE" w:rsidRPr="00EF34F1" w14:paraId="7AA2DBC2"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15AE9067" w14:textId="77777777" w:rsidR="00F735CE" w:rsidRPr="00EF34F1" w:rsidRDefault="00F735CE" w:rsidP="00F735CE">
            <w:pPr>
              <w:rPr>
                <w:rFonts w:ascii="Arial" w:hAnsi="Arial" w:cs="Arial"/>
                <w:sz w:val="20"/>
                <w:szCs w:val="20"/>
              </w:rPr>
            </w:pPr>
            <w:r w:rsidRPr="00EF34F1">
              <w:rPr>
                <w:rFonts w:ascii="Arial" w:hAnsi="Arial" w:cs="Arial"/>
                <w:sz w:val="20"/>
                <w:szCs w:val="20"/>
              </w:rPr>
              <w:t>Flat</w:t>
            </w:r>
            <w:r>
              <w:rPr>
                <w:rFonts w:ascii="Arial" w:hAnsi="Arial" w:cs="Arial"/>
                <w:sz w:val="20"/>
                <w:szCs w:val="20"/>
              </w:rPr>
              <w:t>-</w:t>
            </w:r>
            <w:r w:rsidRPr="00EF34F1">
              <w:rPr>
                <w:rFonts w:ascii="Arial" w:hAnsi="Arial" w:cs="Arial"/>
                <w:sz w:val="20"/>
                <w:szCs w:val="20"/>
              </w:rPr>
              <w:t>rate scheme – maximum allowed to join</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64E684A6" w14:textId="77777777" w:rsidR="00F735CE" w:rsidRPr="00875514" w:rsidRDefault="00F735CE" w:rsidP="00F735CE">
            <w:pPr>
              <w:jc w:val="right"/>
              <w:rPr>
                <w:rFonts w:ascii="Arial" w:hAnsi="Arial" w:cs="Arial"/>
                <w:sz w:val="20"/>
                <w:szCs w:val="20"/>
              </w:rPr>
            </w:pPr>
            <w:r w:rsidRPr="00875514">
              <w:rPr>
                <w:rFonts w:ascii="Arial" w:hAnsi="Arial" w:cs="Arial"/>
                <w:sz w:val="20"/>
                <w:szCs w:val="20"/>
              </w:rPr>
              <w:t>£150,000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7A7BCE36"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£150,000</w:t>
            </w:r>
          </w:p>
        </w:tc>
      </w:tr>
      <w:tr w:rsidR="00F735CE" w:rsidRPr="00EF34F1" w14:paraId="57BC3F83" w14:textId="77777777" w:rsidTr="008F32D5">
        <w:trPr>
          <w:gridAfter w:val="1"/>
          <w:wAfter w:w="236" w:type="dxa"/>
          <w:trHeight w:val="315"/>
        </w:trPr>
        <w:tc>
          <w:tcPr>
            <w:tcW w:w="6376" w:type="dxa"/>
            <w:gridSpan w:val="4"/>
            <w:tcBorders>
              <w:top w:val="single" w:sz="4" w:space="0" w:color="auto"/>
              <w:left w:val="single" w:sz="4" w:space="0" w:color="auto"/>
              <w:bottom w:val="single" w:sz="4" w:space="0" w:color="auto"/>
              <w:right w:val="single" w:sz="4" w:space="0" w:color="auto"/>
            </w:tcBorders>
            <w:noWrap/>
            <w:hideMark/>
          </w:tcPr>
          <w:p w14:paraId="54D5A247" w14:textId="77777777" w:rsidR="00F735CE" w:rsidRPr="00EF34F1" w:rsidRDefault="00F735CE" w:rsidP="00F735CE">
            <w:pPr>
              <w:rPr>
                <w:rFonts w:ascii="Arial" w:hAnsi="Arial" w:cs="Arial"/>
                <w:sz w:val="20"/>
                <w:szCs w:val="20"/>
              </w:rPr>
            </w:pPr>
            <w:r w:rsidRPr="00EF34F1">
              <w:rPr>
                <w:rFonts w:ascii="Arial" w:hAnsi="Arial" w:cs="Arial"/>
                <w:sz w:val="20"/>
                <w:szCs w:val="20"/>
              </w:rPr>
              <w:t>Flat</w:t>
            </w:r>
            <w:r>
              <w:rPr>
                <w:rFonts w:ascii="Arial" w:hAnsi="Arial" w:cs="Arial"/>
                <w:sz w:val="20"/>
                <w:szCs w:val="20"/>
              </w:rPr>
              <w:t>-</w:t>
            </w:r>
            <w:r w:rsidRPr="00EF34F1">
              <w:rPr>
                <w:rFonts w:ascii="Arial" w:hAnsi="Arial" w:cs="Arial"/>
                <w:sz w:val="20"/>
                <w:szCs w:val="20"/>
              </w:rPr>
              <w:t>rate scheme exit threshold</w:t>
            </w:r>
          </w:p>
        </w:tc>
        <w:tc>
          <w:tcPr>
            <w:tcW w:w="1842" w:type="dxa"/>
            <w:gridSpan w:val="4"/>
            <w:tcBorders>
              <w:top w:val="single" w:sz="4" w:space="0" w:color="auto"/>
              <w:left w:val="single" w:sz="4" w:space="0" w:color="auto"/>
              <w:bottom w:val="single" w:sz="4" w:space="0" w:color="auto"/>
              <w:right w:val="single" w:sz="4" w:space="0" w:color="auto"/>
            </w:tcBorders>
            <w:noWrap/>
            <w:hideMark/>
          </w:tcPr>
          <w:p w14:paraId="22BF60ED" w14:textId="77777777" w:rsidR="00F735CE" w:rsidRPr="00800DB0" w:rsidRDefault="00F735CE" w:rsidP="00F735CE">
            <w:pPr>
              <w:jc w:val="right"/>
              <w:rPr>
                <w:rFonts w:ascii="Arial" w:hAnsi="Arial" w:cs="Arial"/>
                <w:sz w:val="20"/>
                <w:szCs w:val="20"/>
              </w:rPr>
            </w:pPr>
            <w:r w:rsidRPr="00800DB0">
              <w:rPr>
                <w:rFonts w:ascii="Arial" w:hAnsi="Arial" w:cs="Arial"/>
                <w:sz w:val="20"/>
                <w:szCs w:val="20"/>
              </w:rPr>
              <w:t>£230,000</w:t>
            </w:r>
          </w:p>
        </w:tc>
        <w:tc>
          <w:tcPr>
            <w:tcW w:w="1705" w:type="dxa"/>
            <w:gridSpan w:val="2"/>
            <w:tcBorders>
              <w:top w:val="single" w:sz="4" w:space="0" w:color="auto"/>
              <w:left w:val="single" w:sz="4" w:space="0" w:color="auto"/>
              <w:bottom w:val="single" w:sz="4" w:space="0" w:color="auto"/>
              <w:right w:val="single" w:sz="4" w:space="0" w:color="auto"/>
            </w:tcBorders>
            <w:noWrap/>
            <w:hideMark/>
          </w:tcPr>
          <w:p w14:paraId="22F6237D" w14:textId="77777777" w:rsidR="00F735CE" w:rsidRPr="00670E4F" w:rsidRDefault="00F735CE" w:rsidP="00F735CE">
            <w:pPr>
              <w:jc w:val="right"/>
              <w:rPr>
                <w:rFonts w:ascii="Arial" w:hAnsi="Arial" w:cs="Arial"/>
                <w:sz w:val="20"/>
                <w:szCs w:val="20"/>
              </w:rPr>
            </w:pPr>
            <w:r w:rsidRPr="00670E4F">
              <w:rPr>
                <w:rFonts w:ascii="Arial" w:hAnsi="Arial" w:cs="Arial"/>
                <w:sz w:val="20"/>
                <w:szCs w:val="20"/>
              </w:rPr>
              <w:t>£230,000</w:t>
            </w:r>
          </w:p>
        </w:tc>
      </w:tr>
      <w:tr w:rsidR="00F735CE" w:rsidRPr="00EF34F1" w14:paraId="25F559B7" w14:textId="77777777" w:rsidTr="008F32D5">
        <w:trPr>
          <w:gridAfter w:val="1"/>
          <w:wAfter w:w="236" w:type="dxa"/>
          <w:trHeight w:val="315"/>
        </w:trPr>
        <w:tc>
          <w:tcPr>
            <w:tcW w:w="9923" w:type="dxa"/>
            <w:gridSpan w:val="10"/>
            <w:tcBorders>
              <w:top w:val="single" w:sz="4" w:space="0" w:color="auto"/>
              <w:left w:val="single" w:sz="4" w:space="0" w:color="auto"/>
              <w:bottom w:val="single" w:sz="4" w:space="0" w:color="auto"/>
              <w:right w:val="single" w:sz="4" w:space="0" w:color="auto"/>
            </w:tcBorders>
            <w:noWrap/>
          </w:tcPr>
          <w:p w14:paraId="6BDD5AE8" w14:textId="5F0EE8D8" w:rsidR="00B40A26" w:rsidRPr="00C50CCE" w:rsidRDefault="00F735CE" w:rsidP="00F735CE">
            <w:pPr>
              <w:rPr>
                <w:rFonts w:ascii="Arial" w:hAnsi="Arial" w:cs="Arial"/>
                <w:i/>
                <w:iCs/>
                <w:sz w:val="18"/>
                <w:szCs w:val="18"/>
              </w:rPr>
            </w:pPr>
            <w:r w:rsidRPr="000C024F">
              <w:rPr>
                <w:rFonts w:ascii="Arial" w:hAnsi="Arial" w:cs="Arial"/>
                <w:i/>
                <w:iCs/>
                <w:sz w:val="18"/>
                <w:szCs w:val="18"/>
              </w:rPr>
              <w:t xml:space="preserve">Note 27: Due to the </w:t>
            </w:r>
            <w:r w:rsidR="00227F77">
              <w:rPr>
                <w:rFonts w:ascii="Arial" w:hAnsi="Arial" w:cs="Arial"/>
                <w:i/>
                <w:iCs/>
                <w:sz w:val="18"/>
                <w:szCs w:val="18"/>
              </w:rPr>
              <w:t>c</w:t>
            </w:r>
            <w:r w:rsidRPr="000C024F">
              <w:rPr>
                <w:rFonts w:ascii="Arial" w:hAnsi="Arial" w:cs="Arial"/>
                <w:i/>
                <w:iCs/>
                <w:sz w:val="18"/>
                <w:szCs w:val="18"/>
              </w:rPr>
              <w:t xml:space="preserve">oronavirus pandemic, the hospitality, holiday accommodation and attractions industry can apply a reduced rate of 5% for certain supplies made between 15 July 2020 and 30 September 2021. </w:t>
            </w:r>
            <w:r w:rsidR="000472F0" w:rsidRPr="000C024F">
              <w:rPr>
                <w:rFonts w:ascii="Arial" w:hAnsi="Arial" w:cs="Arial"/>
                <w:i/>
                <w:iCs/>
                <w:sz w:val="18"/>
                <w:szCs w:val="18"/>
              </w:rPr>
              <w:t>T</w:t>
            </w:r>
            <w:r w:rsidRPr="000C024F">
              <w:rPr>
                <w:rFonts w:ascii="Arial" w:hAnsi="Arial" w:cs="Arial"/>
                <w:i/>
                <w:iCs/>
                <w:sz w:val="18"/>
                <w:szCs w:val="18"/>
              </w:rPr>
              <w:t xml:space="preserve">he rates for these sectors will be 12.5% </w:t>
            </w:r>
            <w:r w:rsidR="000472F0" w:rsidRPr="000C024F">
              <w:rPr>
                <w:rFonts w:ascii="Arial" w:hAnsi="Arial" w:cs="Arial"/>
                <w:i/>
                <w:iCs/>
                <w:sz w:val="18"/>
                <w:szCs w:val="18"/>
              </w:rPr>
              <w:t xml:space="preserve">from 1 October 2021 </w:t>
            </w:r>
            <w:r w:rsidRPr="000C024F">
              <w:rPr>
                <w:rFonts w:ascii="Arial" w:hAnsi="Arial" w:cs="Arial"/>
                <w:i/>
                <w:iCs/>
                <w:sz w:val="18"/>
                <w:szCs w:val="18"/>
              </w:rPr>
              <w:t xml:space="preserve">until 31 March 2022 before they </w:t>
            </w:r>
            <w:r w:rsidR="00B40A26" w:rsidRPr="000C024F">
              <w:rPr>
                <w:rFonts w:ascii="Arial" w:hAnsi="Arial" w:cs="Arial"/>
                <w:i/>
                <w:iCs/>
                <w:sz w:val="18"/>
                <w:szCs w:val="18"/>
              </w:rPr>
              <w:t>revert</w:t>
            </w:r>
            <w:r w:rsidRPr="000C024F">
              <w:rPr>
                <w:rFonts w:ascii="Arial" w:hAnsi="Arial" w:cs="Arial"/>
                <w:i/>
                <w:iCs/>
                <w:sz w:val="18"/>
                <w:szCs w:val="18"/>
              </w:rPr>
              <w:t xml:space="preserve"> to </w:t>
            </w:r>
            <w:r w:rsidR="00B40A26" w:rsidRPr="000C024F">
              <w:rPr>
                <w:rFonts w:ascii="Arial" w:hAnsi="Arial" w:cs="Arial"/>
                <w:i/>
                <w:iCs/>
                <w:sz w:val="18"/>
                <w:szCs w:val="18"/>
              </w:rPr>
              <w:t xml:space="preserve">the </w:t>
            </w:r>
            <w:r w:rsidRPr="000C024F">
              <w:rPr>
                <w:rFonts w:ascii="Arial" w:hAnsi="Arial" w:cs="Arial"/>
                <w:i/>
                <w:iCs/>
                <w:sz w:val="18"/>
                <w:szCs w:val="18"/>
              </w:rPr>
              <w:t>normal standard rate of VAT</w:t>
            </w:r>
            <w:r w:rsidR="00227F77">
              <w:rPr>
                <w:rFonts w:ascii="Arial" w:hAnsi="Arial" w:cs="Arial"/>
                <w:i/>
                <w:iCs/>
                <w:sz w:val="18"/>
                <w:szCs w:val="18"/>
              </w:rPr>
              <w:t xml:space="preserve"> at</w:t>
            </w:r>
            <w:r w:rsidRPr="000C024F">
              <w:rPr>
                <w:rFonts w:ascii="Arial" w:hAnsi="Arial" w:cs="Arial"/>
                <w:i/>
                <w:iCs/>
                <w:sz w:val="18"/>
                <w:szCs w:val="18"/>
              </w:rPr>
              <w:t xml:space="preserve"> 20%.</w:t>
            </w:r>
          </w:p>
        </w:tc>
      </w:tr>
      <w:tr w:rsidR="00F735CE" w:rsidRPr="00EF34F1" w14:paraId="1FEF3071"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507F7674" w14:textId="6D870B2B" w:rsidR="00F735CE" w:rsidRPr="00EF34F1" w:rsidRDefault="00F735CE" w:rsidP="00F735CE">
            <w:pPr>
              <w:rPr>
                <w:rFonts w:ascii="Arial" w:hAnsi="Arial" w:cs="Arial"/>
                <w:sz w:val="20"/>
                <w:szCs w:val="20"/>
              </w:rPr>
            </w:pPr>
            <w:r w:rsidRPr="00EF34F1">
              <w:rPr>
                <w:rFonts w:ascii="Arial" w:hAnsi="Arial" w:cs="Arial"/>
                <w:sz w:val="20"/>
                <w:szCs w:val="20"/>
              </w:rPr>
              <w:lastRenderedPageBreak/>
              <w:t> </w:t>
            </w:r>
            <w:r w:rsidR="00401B5D" w:rsidRPr="00EF34F1">
              <w:rPr>
                <w:rFonts w:ascii="Arial" w:hAnsi="Arial" w:cs="Arial"/>
                <w:b/>
                <w:bCs/>
                <w:sz w:val="20"/>
                <w:szCs w:val="20"/>
              </w:rPr>
              <w:t xml:space="preserve">Annual </w:t>
            </w:r>
            <w:r w:rsidR="00401B5D">
              <w:rPr>
                <w:rFonts w:ascii="Arial" w:hAnsi="Arial" w:cs="Arial"/>
                <w:b/>
                <w:bCs/>
                <w:sz w:val="20"/>
                <w:szCs w:val="20"/>
              </w:rPr>
              <w:t>t</w:t>
            </w:r>
            <w:r w:rsidR="00401B5D" w:rsidRPr="00EF34F1">
              <w:rPr>
                <w:rFonts w:ascii="Arial" w:hAnsi="Arial" w:cs="Arial"/>
                <w:b/>
                <w:bCs/>
                <w:sz w:val="20"/>
                <w:szCs w:val="20"/>
              </w:rPr>
              <w:t xml:space="preserve">ax on </w:t>
            </w:r>
            <w:r w:rsidR="00401B5D">
              <w:rPr>
                <w:rFonts w:ascii="Arial" w:hAnsi="Arial" w:cs="Arial"/>
                <w:b/>
                <w:bCs/>
                <w:sz w:val="20"/>
                <w:szCs w:val="20"/>
              </w:rPr>
              <w:t>e</w:t>
            </w:r>
            <w:r w:rsidR="00401B5D" w:rsidRPr="00EF34F1">
              <w:rPr>
                <w:rFonts w:ascii="Arial" w:hAnsi="Arial" w:cs="Arial"/>
                <w:b/>
                <w:bCs/>
                <w:sz w:val="20"/>
                <w:szCs w:val="20"/>
              </w:rPr>
              <w:t xml:space="preserve">nveloped </w:t>
            </w:r>
            <w:r w:rsidR="00401B5D">
              <w:rPr>
                <w:rFonts w:ascii="Arial" w:hAnsi="Arial" w:cs="Arial"/>
                <w:b/>
                <w:bCs/>
                <w:sz w:val="20"/>
                <w:szCs w:val="20"/>
              </w:rPr>
              <w:t>d</w:t>
            </w:r>
            <w:r w:rsidR="00401B5D" w:rsidRPr="00EF34F1">
              <w:rPr>
                <w:rFonts w:ascii="Arial" w:hAnsi="Arial" w:cs="Arial"/>
                <w:b/>
                <w:bCs/>
                <w:sz w:val="20"/>
                <w:szCs w:val="20"/>
              </w:rPr>
              <w:t>wellings (ATED)</w:t>
            </w:r>
          </w:p>
        </w:tc>
        <w:tc>
          <w:tcPr>
            <w:tcW w:w="1800" w:type="dxa"/>
            <w:gridSpan w:val="4"/>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4F02A17" w14:textId="6AE3DB43" w:rsidR="00F735CE" w:rsidRPr="00EF34F1" w:rsidRDefault="00F735CE" w:rsidP="00F735CE">
            <w:pPr>
              <w:jc w:val="right"/>
              <w:rPr>
                <w:rFonts w:ascii="Arial" w:hAnsi="Arial" w:cs="Arial"/>
                <w:b/>
                <w:bCs/>
                <w:sz w:val="24"/>
                <w:szCs w:val="24"/>
              </w:rPr>
            </w:pPr>
            <w:r>
              <w:rPr>
                <w:rFonts w:ascii="Arial" w:hAnsi="Arial" w:cs="Arial"/>
                <w:b/>
                <w:bCs/>
                <w:sz w:val="24"/>
                <w:szCs w:val="24"/>
              </w:rPr>
              <w:t>2022/23</w:t>
            </w:r>
          </w:p>
        </w:tc>
        <w:tc>
          <w:tcPr>
            <w:tcW w:w="1662" w:type="dxa"/>
            <w:gridSpan w:val="2"/>
            <w:tcBorders>
              <w:top w:val="single" w:sz="4" w:space="0" w:color="auto"/>
              <w:left w:val="single" w:sz="4" w:space="0" w:color="auto"/>
              <w:bottom w:val="single" w:sz="4" w:space="0" w:color="auto"/>
              <w:right w:val="single" w:sz="4" w:space="0" w:color="auto"/>
            </w:tcBorders>
            <w:shd w:val="clear" w:color="auto" w:fill="C7C7C7" w:themeFill="accent1" w:themeFillShade="E6"/>
            <w:noWrap/>
            <w:hideMark/>
          </w:tcPr>
          <w:p w14:paraId="4C8B880D" w14:textId="641A2EB6" w:rsidR="00F735CE" w:rsidRPr="00EF34F1" w:rsidRDefault="00F735CE" w:rsidP="00F735CE">
            <w:pPr>
              <w:jc w:val="right"/>
              <w:rPr>
                <w:rFonts w:ascii="Arial" w:hAnsi="Arial" w:cs="Arial"/>
                <w:b/>
                <w:bCs/>
                <w:sz w:val="24"/>
                <w:szCs w:val="24"/>
              </w:rPr>
            </w:pPr>
            <w:r>
              <w:rPr>
                <w:rFonts w:ascii="Arial" w:hAnsi="Arial" w:cs="Arial"/>
                <w:b/>
                <w:bCs/>
                <w:sz w:val="24"/>
                <w:szCs w:val="24"/>
              </w:rPr>
              <w:t>2021/22</w:t>
            </w:r>
          </w:p>
        </w:tc>
      </w:tr>
      <w:tr w:rsidR="00F735CE" w:rsidRPr="00EF34F1" w14:paraId="571790D7"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423EE1D0"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£0.5m but not more than £1m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169C674" w14:textId="687C1761"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3,</w:t>
            </w:r>
            <w:r w:rsidR="00D363BE" w:rsidRPr="0089326C">
              <w:rPr>
                <w:rFonts w:ascii="Arial" w:hAnsi="Arial" w:cs="Arial"/>
                <w:sz w:val="20"/>
                <w:szCs w:val="20"/>
              </w:rPr>
              <w:t>8</w:t>
            </w:r>
            <w:r w:rsidR="00F735CE" w:rsidRPr="0089326C">
              <w:rPr>
                <w:rFonts w:ascii="Arial" w:hAnsi="Arial" w:cs="Arial"/>
                <w:sz w:val="20"/>
                <w:szCs w:val="20"/>
              </w:rPr>
              <w:t>00</w:t>
            </w:r>
          </w:p>
        </w:tc>
        <w:tc>
          <w:tcPr>
            <w:tcW w:w="1662" w:type="dxa"/>
            <w:gridSpan w:val="2"/>
            <w:tcBorders>
              <w:top w:val="single" w:sz="4" w:space="0" w:color="auto"/>
              <w:left w:val="single" w:sz="4" w:space="0" w:color="auto"/>
              <w:bottom w:val="single" w:sz="4" w:space="0" w:color="auto"/>
              <w:right w:val="single" w:sz="4" w:space="0" w:color="auto"/>
            </w:tcBorders>
            <w:noWrap/>
          </w:tcPr>
          <w:p w14:paraId="51EEF41B" w14:textId="697D8754"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3,700</w:t>
            </w:r>
          </w:p>
        </w:tc>
      </w:tr>
      <w:tr w:rsidR="00F735CE" w:rsidRPr="00EF34F1" w14:paraId="3F9A2BAB"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3E1C7607"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£1m but not more than £2m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64E8AFED" w14:textId="57A74E33"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7,</w:t>
            </w:r>
            <w:r w:rsidR="00D363BE" w:rsidRPr="0089326C">
              <w:rPr>
                <w:rFonts w:ascii="Arial" w:hAnsi="Arial" w:cs="Arial"/>
                <w:sz w:val="20"/>
                <w:szCs w:val="20"/>
              </w:rPr>
              <w:t>7</w:t>
            </w:r>
            <w:r w:rsidR="00F735CE" w:rsidRPr="0089326C">
              <w:rPr>
                <w:rFonts w:ascii="Arial" w:hAnsi="Arial" w:cs="Arial"/>
                <w:sz w:val="20"/>
                <w:szCs w:val="20"/>
              </w:rPr>
              <w:t>00</w:t>
            </w:r>
          </w:p>
        </w:tc>
        <w:tc>
          <w:tcPr>
            <w:tcW w:w="1662" w:type="dxa"/>
            <w:gridSpan w:val="2"/>
            <w:tcBorders>
              <w:top w:val="single" w:sz="4" w:space="0" w:color="auto"/>
              <w:left w:val="single" w:sz="4" w:space="0" w:color="auto"/>
              <w:bottom w:val="single" w:sz="4" w:space="0" w:color="auto"/>
              <w:right w:val="single" w:sz="4" w:space="0" w:color="auto"/>
            </w:tcBorders>
            <w:noWrap/>
          </w:tcPr>
          <w:p w14:paraId="4DB1F894" w14:textId="0FBD8327"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7,500</w:t>
            </w:r>
          </w:p>
        </w:tc>
      </w:tr>
      <w:tr w:rsidR="00F735CE" w:rsidRPr="00EF34F1" w14:paraId="03E6EBA7"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188A1A29"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£2m but not more than £5m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51A64F9" w14:textId="2FFFE5AF"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2</w:t>
            </w:r>
            <w:r w:rsidR="00D363BE" w:rsidRPr="0089326C">
              <w:rPr>
                <w:rFonts w:ascii="Arial" w:hAnsi="Arial" w:cs="Arial"/>
                <w:sz w:val="20"/>
                <w:szCs w:val="20"/>
              </w:rPr>
              <w:t>6,050</w:t>
            </w:r>
          </w:p>
        </w:tc>
        <w:tc>
          <w:tcPr>
            <w:tcW w:w="1662" w:type="dxa"/>
            <w:gridSpan w:val="2"/>
            <w:tcBorders>
              <w:top w:val="single" w:sz="4" w:space="0" w:color="auto"/>
              <w:left w:val="single" w:sz="4" w:space="0" w:color="auto"/>
              <w:bottom w:val="single" w:sz="4" w:space="0" w:color="auto"/>
              <w:right w:val="single" w:sz="4" w:space="0" w:color="auto"/>
            </w:tcBorders>
            <w:noWrap/>
          </w:tcPr>
          <w:p w14:paraId="60A06245" w14:textId="745D1647"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25,300</w:t>
            </w:r>
          </w:p>
        </w:tc>
      </w:tr>
      <w:tr w:rsidR="00F735CE" w:rsidRPr="00EF34F1" w14:paraId="0CF2F26F"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4CEB1F70"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£5m but not more than £10m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7321E73F" w14:textId="27A5677E"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D363BE" w:rsidRPr="0089326C">
              <w:rPr>
                <w:rFonts w:ascii="Arial" w:hAnsi="Arial" w:cs="Arial"/>
                <w:sz w:val="20"/>
                <w:szCs w:val="20"/>
              </w:rPr>
              <w:t>60</w:t>
            </w:r>
            <w:r w:rsidR="00DE2404" w:rsidRPr="0089326C">
              <w:rPr>
                <w:rFonts w:ascii="Arial" w:hAnsi="Arial" w:cs="Arial"/>
                <w:sz w:val="20"/>
                <w:szCs w:val="20"/>
              </w:rPr>
              <w:t>,900</w:t>
            </w:r>
          </w:p>
        </w:tc>
        <w:tc>
          <w:tcPr>
            <w:tcW w:w="1662" w:type="dxa"/>
            <w:gridSpan w:val="2"/>
            <w:tcBorders>
              <w:top w:val="single" w:sz="4" w:space="0" w:color="auto"/>
              <w:left w:val="single" w:sz="4" w:space="0" w:color="auto"/>
              <w:bottom w:val="single" w:sz="4" w:space="0" w:color="auto"/>
              <w:right w:val="single" w:sz="4" w:space="0" w:color="auto"/>
            </w:tcBorders>
            <w:noWrap/>
          </w:tcPr>
          <w:p w14:paraId="76B15ABD" w14:textId="322C9AF4"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59,100</w:t>
            </w:r>
          </w:p>
        </w:tc>
      </w:tr>
      <w:tr w:rsidR="00F735CE" w:rsidRPr="00EF34F1" w14:paraId="608D8D8D"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5F4B43D8"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£10m but not more than £20m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6576A629" w14:textId="0FA798FB"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1</w:t>
            </w:r>
            <w:r w:rsidR="00DE2404" w:rsidRPr="0089326C">
              <w:rPr>
                <w:rFonts w:ascii="Arial" w:hAnsi="Arial" w:cs="Arial"/>
                <w:sz w:val="20"/>
                <w:szCs w:val="20"/>
              </w:rPr>
              <w:t>22,250</w:t>
            </w:r>
          </w:p>
        </w:tc>
        <w:tc>
          <w:tcPr>
            <w:tcW w:w="1662" w:type="dxa"/>
            <w:gridSpan w:val="2"/>
            <w:tcBorders>
              <w:top w:val="single" w:sz="4" w:space="0" w:color="auto"/>
              <w:left w:val="single" w:sz="4" w:space="0" w:color="auto"/>
              <w:bottom w:val="single" w:sz="4" w:space="0" w:color="auto"/>
              <w:right w:val="single" w:sz="4" w:space="0" w:color="auto"/>
            </w:tcBorders>
            <w:noWrap/>
          </w:tcPr>
          <w:p w14:paraId="13D153EE" w14:textId="7441518A"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118,600</w:t>
            </w:r>
          </w:p>
        </w:tc>
      </w:tr>
      <w:tr w:rsidR="00F735CE" w:rsidRPr="00EF34F1" w14:paraId="749B2611" w14:textId="77777777" w:rsidTr="008F32D5">
        <w:trPr>
          <w:gridAfter w:val="2"/>
          <w:wAfter w:w="477" w:type="dxa"/>
          <w:trHeight w:val="330"/>
        </w:trPr>
        <w:tc>
          <w:tcPr>
            <w:tcW w:w="6220" w:type="dxa"/>
            <w:gridSpan w:val="3"/>
            <w:tcBorders>
              <w:top w:val="single" w:sz="4" w:space="0" w:color="auto"/>
              <w:left w:val="single" w:sz="4" w:space="0" w:color="auto"/>
              <w:bottom w:val="single" w:sz="4" w:space="0" w:color="auto"/>
              <w:right w:val="single" w:sz="4" w:space="0" w:color="auto"/>
            </w:tcBorders>
            <w:noWrap/>
            <w:hideMark/>
          </w:tcPr>
          <w:p w14:paraId="317C4DFD" w14:textId="77777777" w:rsidR="00F735CE" w:rsidRPr="00EF34F1" w:rsidRDefault="00F735CE" w:rsidP="00F735CE">
            <w:pPr>
              <w:rPr>
                <w:rFonts w:ascii="Arial" w:hAnsi="Arial" w:cs="Arial"/>
                <w:sz w:val="20"/>
                <w:szCs w:val="20"/>
              </w:rPr>
            </w:pPr>
            <w:r w:rsidRPr="00EF34F1">
              <w:rPr>
                <w:rFonts w:ascii="Arial" w:hAnsi="Arial" w:cs="Arial"/>
                <w:sz w:val="20"/>
                <w:szCs w:val="20"/>
              </w:rPr>
              <w:t>More than £20m</w:t>
            </w:r>
          </w:p>
        </w:tc>
        <w:tc>
          <w:tcPr>
            <w:tcW w:w="1800" w:type="dxa"/>
            <w:gridSpan w:val="4"/>
            <w:tcBorders>
              <w:top w:val="single" w:sz="4" w:space="0" w:color="auto"/>
              <w:left w:val="single" w:sz="4" w:space="0" w:color="auto"/>
              <w:bottom w:val="single" w:sz="4" w:space="0" w:color="auto"/>
              <w:right w:val="single" w:sz="4" w:space="0" w:color="auto"/>
            </w:tcBorders>
            <w:noWrap/>
            <w:hideMark/>
          </w:tcPr>
          <w:p w14:paraId="08C8AEBE" w14:textId="787CC115" w:rsidR="00F735CE" w:rsidRPr="0089326C" w:rsidRDefault="00401B5D" w:rsidP="00F735CE">
            <w:pPr>
              <w:jc w:val="right"/>
              <w:rPr>
                <w:rFonts w:ascii="Arial" w:hAnsi="Arial" w:cs="Arial"/>
                <w:sz w:val="20"/>
                <w:szCs w:val="20"/>
              </w:rPr>
            </w:pPr>
            <w:r w:rsidRPr="0089326C">
              <w:rPr>
                <w:rFonts w:ascii="Arial" w:hAnsi="Arial" w:cs="Arial"/>
                <w:sz w:val="20"/>
                <w:szCs w:val="20"/>
              </w:rPr>
              <w:t>£</w:t>
            </w:r>
            <w:r w:rsidR="00F735CE" w:rsidRPr="0089326C">
              <w:rPr>
                <w:rFonts w:ascii="Arial" w:hAnsi="Arial" w:cs="Arial"/>
                <w:sz w:val="20"/>
                <w:szCs w:val="20"/>
              </w:rPr>
              <w:t>2</w:t>
            </w:r>
            <w:r w:rsidR="00DE2404" w:rsidRPr="0089326C">
              <w:rPr>
                <w:rFonts w:ascii="Arial" w:hAnsi="Arial" w:cs="Arial"/>
                <w:sz w:val="20"/>
                <w:szCs w:val="20"/>
              </w:rPr>
              <w:t>44,750</w:t>
            </w:r>
          </w:p>
        </w:tc>
        <w:tc>
          <w:tcPr>
            <w:tcW w:w="1662" w:type="dxa"/>
            <w:gridSpan w:val="2"/>
            <w:tcBorders>
              <w:top w:val="single" w:sz="4" w:space="0" w:color="auto"/>
              <w:left w:val="single" w:sz="4" w:space="0" w:color="auto"/>
              <w:bottom w:val="single" w:sz="4" w:space="0" w:color="auto"/>
              <w:right w:val="single" w:sz="4" w:space="0" w:color="auto"/>
            </w:tcBorders>
            <w:noWrap/>
          </w:tcPr>
          <w:p w14:paraId="15E45B9C" w14:textId="08E1FF3E" w:rsidR="00F735CE" w:rsidRPr="00401B5D" w:rsidRDefault="00401B5D" w:rsidP="00F735CE">
            <w:pPr>
              <w:jc w:val="right"/>
              <w:rPr>
                <w:rFonts w:ascii="Arial" w:hAnsi="Arial" w:cs="Arial"/>
                <w:sz w:val="20"/>
                <w:szCs w:val="20"/>
              </w:rPr>
            </w:pPr>
            <w:r>
              <w:rPr>
                <w:rFonts w:ascii="Arial" w:hAnsi="Arial" w:cs="Arial"/>
                <w:sz w:val="20"/>
                <w:szCs w:val="20"/>
              </w:rPr>
              <w:t>£</w:t>
            </w:r>
            <w:r w:rsidR="00F735CE" w:rsidRPr="00401B5D">
              <w:rPr>
                <w:rFonts w:ascii="Arial" w:hAnsi="Arial" w:cs="Arial"/>
                <w:sz w:val="20"/>
                <w:szCs w:val="20"/>
              </w:rPr>
              <w:t>237,400</w:t>
            </w:r>
          </w:p>
        </w:tc>
      </w:tr>
      <w:tr w:rsidR="00F735CE" w:rsidRPr="00EF34F1" w14:paraId="36AA63E0" w14:textId="77777777" w:rsidTr="008F32D5">
        <w:trPr>
          <w:gridBefore w:val="3"/>
          <w:gridAfter w:val="1"/>
          <w:wBefore w:w="6220" w:type="dxa"/>
          <w:wAfter w:w="236" w:type="dxa"/>
          <w:trHeight w:val="300"/>
        </w:trPr>
        <w:tc>
          <w:tcPr>
            <w:tcW w:w="1800" w:type="dxa"/>
            <w:gridSpan w:val="4"/>
            <w:hideMark/>
          </w:tcPr>
          <w:p w14:paraId="7F10556E" w14:textId="77777777" w:rsidR="00F735CE" w:rsidRPr="00EF34F1" w:rsidRDefault="00F735CE" w:rsidP="00F735CE">
            <w:pPr>
              <w:rPr>
                <w:rFonts w:ascii="Arial" w:hAnsi="Arial" w:cs="Arial"/>
                <w:sz w:val="20"/>
                <w:szCs w:val="20"/>
              </w:rPr>
            </w:pPr>
          </w:p>
        </w:tc>
        <w:tc>
          <w:tcPr>
            <w:tcW w:w="1662" w:type="dxa"/>
            <w:gridSpan w:val="2"/>
            <w:hideMark/>
          </w:tcPr>
          <w:p w14:paraId="30AA5586" w14:textId="77777777" w:rsidR="00F735CE" w:rsidRPr="00EF34F1" w:rsidRDefault="00F735CE" w:rsidP="00F735CE">
            <w:pPr>
              <w:rPr>
                <w:rFonts w:ascii="Arial" w:hAnsi="Arial" w:cs="Arial"/>
                <w:sz w:val="20"/>
                <w:szCs w:val="20"/>
              </w:rPr>
            </w:pPr>
          </w:p>
        </w:tc>
        <w:tc>
          <w:tcPr>
            <w:tcW w:w="241" w:type="dxa"/>
            <w:hideMark/>
          </w:tcPr>
          <w:p w14:paraId="119FB333" w14:textId="77777777" w:rsidR="00F735CE" w:rsidRPr="00EF34F1" w:rsidRDefault="00F735CE" w:rsidP="00F735CE">
            <w:pPr>
              <w:rPr>
                <w:rFonts w:ascii="Arial" w:hAnsi="Arial" w:cs="Arial"/>
                <w:sz w:val="20"/>
                <w:szCs w:val="20"/>
              </w:rPr>
            </w:pPr>
          </w:p>
        </w:tc>
      </w:tr>
      <w:tr w:rsidR="00F735CE" w:rsidRPr="00EF34F1" w14:paraId="45B75346" w14:textId="77777777" w:rsidTr="008F32D5">
        <w:trPr>
          <w:gridAfter w:val="1"/>
          <w:wAfter w:w="236" w:type="dxa"/>
          <w:trHeight w:val="300"/>
        </w:trPr>
        <w:tc>
          <w:tcPr>
            <w:tcW w:w="6220" w:type="dxa"/>
            <w:gridSpan w:val="3"/>
            <w:noWrap/>
            <w:hideMark/>
          </w:tcPr>
          <w:p w14:paraId="4A1F2C9E" w14:textId="77777777" w:rsidR="00F735CE" w:rsidRDefault="00F735CE" w:rsidP="00F735CE">
            <w:pPr>
              <w:rPr>
                <w:rFonts w:ascii="Arial" w:hAnsi="Arial" w:cs="Arial"/>
                <w:sz w:val="20"/>
                <w:szCs w:val="20"/>
              </w:rPr>
            </w:pPr>
          </w:p>
          <w:p w14:paraId="6AE50927" w14:textId="2845BFC7" w:rsidR="00F735CE" w:rsidRDefault="00F735CE" w:rsidP="00F735CE">
            <w:pPr>
              <w:rPr>
                <w:rFonts w:ascii="Arial" w:hAnsi="Arial" w:cs="Arial"/>
                <w:sz w:val="20"/>
                <w:szCs w:val="20"/>
              </w:rPr>
            </w:pPr>
          </w:p>
          <w:p w14:paraId="16DAEBC5" w14:textId="67939A10" w:rsidR="00F735CE" w:rsidRDefault="00F735CE" w:rsidP="00F735CE">
            <w:pPr>
              <w:rPr>
                <w:rFonts w:ascii="Arial" w:hAnsi="Arial" w:cs="Arial"/>
                <w:sz w:val="20"/>
                <w:szCs w:val="20"/>
              </w:rPr>
            </w:pPr>
          </w:p>
          <w:p w14:paraId="248A4C2E" w14:textId="6899378E" w:rsidR="00F735CE" w:rsidRDefault="00F735CE" w:rsidP="00F735CE">
            <w:pPr>
              <w:rPr>
                <w:rFonts w:ascii="Arial" w:hAnsi="Arial" w:cs="Arial"/>
                <w:sz w:val="20"/>
                <w:szCs w:val="20"/>
              </w:rPr>
            </w:pPr>
          </w:p>
          <w:p w14:paraId="58F5414A" w14:textId="53D693A4" w:rsidR="00F735CE" w:rsidRDefault="00F735CE" w:rsidP="00F735CE">
            <w:pPr>
              <w:rPr>
                <w:rFonts w:ascii="Arial" w:hAnsi="Arial" w:cs="Arial"/>
                <w:sz w:val="20"/>
                <w:szCs w:val="20"/>
              </w:rPr>
            </w:pPr>
          </w:p>
          <w:p w14:paraId="69EAD9A9" w14:textId="71AD157D" w:rsidR="00F735CE" w:rsidRDefault="00F735CE" w:rsidP="00F735CE">
            <w:pPr>
              <w:rPr>
                <w:rFonts w:ascii="Arial" w:hAnsi="Arial" w:cs="Arial"/>
                <w:sz w:val="20"/>
                <w:szCs w:val="20"/>
              </w:rPr>
            </w:pPr>
          </w:p>
          <w:p w14:paraId="181E483C" w14:textId="77777777" w:rsidR="00F735CE" w:rsidRDefault="00F735CE" w:rsidP="00F735CE">
            <w:pPr>
              <w:rPr>
                <w:rFonts w:ascii="Arial" w:hAnsi="Arial" w:cs="Arial"/>
                <w:sz w:val="20"/>
                <w:szCs w:val="20"/>
              </w:rPr>
            </w:pPr>
          </w:p>
          <w:p w14:paraId="76B0D788" w14:textId="77777777" w:rsidR="00F735CE" w:rsidRDefault="00F735CE" w:rsidP="00F735CE">
            <w:pPr>
              <w:rPr>
                <w:rFonts w:ascii="Arial" w:hAnsi="Arial" w:cs="Arial"/>
                <w:sz w:val="20"/>
                <w:szCs w:val="20"/>
              </w:rPr>
            </w:pPr>
          </w:p>
          <w:p w14:paraId="41C652A1" w14:textId="046BBF25" w:rsidR="00F735CE" w:rsidRPr="009C7AC1" w:rsidRDefault="00A01088" w:rsidP="00F735CE">
            <w:pPr>
              <w:rPr>
                <w:rFonts w:ascii="Arial" w:hAnsi="Arial" w:cs="Arial"/>
                <w:sz w:val="20"/>
                <w:szCs w:val="20"/>
              </w:rPr>
            </w:pPr>
            <w:r>
              <w:rPr>
                <w:rFonts w:ascii="Arial" w:hAnsi="Arial" w:cs="Arial"/>
                <w:sz w:val="20"/>
                <w:szCs w:val="20"/>
              </w:rPr>
              <w:t>March 2022</w:t>
            </w:r>
          </w:p>
          <w:p w14:paraId="705CC48D" w14:textId="77777777" w:rsidR="00F735CE" w:rsidRPr="00EF34F1" w:rsidRDefault="00F735CE" w:rsidP="00F735CE">
            <w:pPr>
              <w:rPr>
                <w:rFonts w:ascii="Arial" w:hAnsi="Arial" w:cs="Arial"/>
                <w:b/>
                <w:bCs/>
                <w:sz w:val="20"/>
                <w:szCs w:val="20"/>
              </w:rPr>
            </w:pPr>
            <w:r w:rsidRPr="00EF34F1">
              <w:rPr>
                <w:rFonts w:ascii="Arial" w:hAnsi="Arial" w:cs="Arial"/>
                <w:b/>
                <w:bCs/>
                <w:sz w:val="20"/>
                <w:szCs w:val="20"/>
              </w:rPr>
              <w:t>ACCA LEGAL NOTICE</w:t>
            </w:r>
          </w:p>
        </w:tc>
        <w:tc>
          <w:tcPr>
            <w:tcW w:w="1800" w:type="dxa"/>
            <w:gridSpan w:val="4"/>
            <w:noWrap/>
            <w:hideMark/>
          </w:tcPr>
          <w:p w14:paraId="31ED3BCD" w14:textId="77777777" w:rsidR="00F735CE" w:rsidRPr="00EF34F1" w:rsidRDefault="00F735CE" w:rsidP="00F735CE">
            <w:pPr>
              <w:rPr>
                <w:rFonts w:ascii="Arial" w:hAnsi="Arial" w:cs="Arial"/>
                <w:sz w:val="20"/>
                <w:szCs w:val="20"/>
              </w:rPr>
            </w:pPr>
          </w:p>
        </w:tc>
        <w:tc>
          <w:tcPr>
            <w:tcW w:w="1662" w:type="dxa"/>
            <w:gridSpan w:val="2"/>
            <w:noWrap/>
            <w:hideMark/>
          </w:tcPr>
          <w:p w14:paraId="751BF492" w14:textId="77777777" w:rsidR="00F735CE" w:rsidRPr="00EF34F1" w:rsidRDefault="00F735CE" w:rsidP="00F735CE">
            <w:pPr>
              <w:rPr>
                <w:rFonts w:ascii="Arial" w:hAnsi="Arial" w:cs="Arial"/>
                <w:sz w:val="20"/>
                <w:szCs w:val="20"/>
              </w:rPr>
            </w:pPr>
          </w:p>
        </w:tc>
        <w:tc>
          <w:tcPr>
            <w:tcW w:w="241" w:type="dxa"/>
            <w:noWrap/>
            <w:hideMark/>
          </w:tcPr>
          <w:p w14:paraId="4C8281B8" w14:textId="77777777" w:rsidR="00F735CE" w:rsidRPr="00EF34F1" w:rsidRDefault="00F735CE" w:rsidP="00F735CE">
            <w:pPr>
              <w:rPr>
                <w:rFonts w:ascii="Arial" w:hAnsi="Arial" w:cs="Arial"/>
                <w:sz w:val="20"/>
                <w:szCs w:val="20"/>
              </w:rPr>
            </w:pPr>
          </w:p>
        </w:tc>
      </w:tr>
      <w:tr w:rsidR="00F735CE" w:rsidRPr="009E215C" w14:paraId="79B77DF8" w14:textId="77777777" w:rsidTr="008F32D5">
        <w:trPr>
          <w:gridAfter w:val="2"/>
          <w:wAfter w:w="477" w:type="dxa"/>
          <w:trHeight w:val="300"/>
        </w:trPr>
        <w:tc>
          <w:tcPr>
            <w:tcW w:w="9682" w:type="dxa"/>
            <w:gridSpan w:val="9"/>
            <w:noWrap/>
            <w:hideMark/>
          </w:tcPr>
          <w:p w14:paraId="25027FB2" w14:textId="77777777" w:rsidR="00F735CE" w:rsidRPr="009E215C" w:rsidRDefault="00F735CE" w:rsidP="00F735CE">
            <w:pPr>
              <w:rPr>
                <w:rFonts w:ascii="Arial" w:hAnsi="Arial" w:cs="Arial"/>
                <w:sz w:val="20"/>
                <w:szCs w:val="20"/>
              </w:rPr>
            </w:pPr>
            <w:r w:rsidRPr="00EF34F1">
              <w:rPr>
                <w:rFonts w:ascii="Arial" w:hAnsi="Arial" w:cs="Arial"/>
                <w:sz w:val="20"/>
                <w:szCs w:val="20"/>
              </w:rPr>
              <w:t xml:space="preserve">This is a basic guide prepared by </w:t>
            </w:r>
            <w:r w:rsidRPr="00EF34F1">
              <w:rPr>
                <w:rFonts w:ascii="Arial" w:hAnsi="Arial" w:cs="Arial"/>
                <w:i/>
                <w:iCs/>
                <w:sz w:val="20"/>
                <w:szCs w:val="20"/>
              </w:rPr>
              <w:t>ACCA UK</w:t>
            </w:r>
            <w:r w:rsidRPr="00EF34F1">
              <w:rPr>
                <w:rFonts w:ascii="Arial" w:hAnsi="Arial" w:cs="Arial"/>
                <w:sz w:val="20"/>
                <w:szCs w:val="20"/>
              </w:rPr>
              <w:t>'s Technical Advisory Service for members and their clients. It should not be used as a definitive guide, since individual circumstances may vary. Specific advice should be obtained, where necessary.</w:t>
            </w:r>
          </w:p>
          <w:p w14:paraId="6BE98C47" w14:textId="77777777" w:rsidR="00F735CE" w:rsidRPr="009E215C" w:rsidRDefault="00F735CE" w:rsidP="00F735CE">
            <w:pPr>
              <w:rPr>
                <w:rFonts w:ascii="Arial" w:hAnsi="Arial" w:cs="Arial"/>
                <w:sz w:val="20"/>
                <w:szCs w:val="20"/>
              </w:rPr>
            </w:pPr>
          </w:p>
        </w:tc>
      </w:tr>
    </w:tbl>
    <w:p w14:paraId="0F688ECE" w14:textId="77777777" w:rsidR="0045710D" w:rsidRPr="009E215C" w:rsidRDefault="0045710D">
      <w:pPr>
        <w:rPr>
          <w:rFonts w:ascii="Arial" w:hAnsi="Arial" w:cs="Arial"/>
          <w:sz w:val="20"/>
          <w:szCs w:val="20"/>
        </w:rPr>
      </w:pPr>
    </w:p>
    <w:sectPr w:rsidR="0045710D" w:rsidRPr="009E215C" w:rsidSect="00765CE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70F73" w14:textId="77777777" w:rsidR="00E02CD9" w:rsidRDefault="00E02CD9" w:rsidP="00B33BC4">
      <w:pPr>
        <w:spacing w:after="0" w:line="240" w:lineRule="auto"/>
      </w:pPr>
      <w:r>
        <w:separator/>
      </w:r>
    </w:p>
  </w:endnote>
  <w:endnote w:type="continuationSeparator" w:id="0">
    <w:p w14:paraId="605A0E71" w14:textId="77777777" w:rsidR="00E02CD9" w:rsidRDefault="00E02CD9" w:rsidP="00B33B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76DF" w14:textId="77777777" w:rsidR="00D1038B" w:rsidRDefault="00D103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6811473"/>
      <w:docPartObj>
        <w:docPartGallery w:val="Page Numbers (Bottom of Page)"/>
        <w:docPartUnique/>
      </w:docPartObj>
    </w:sdtPr>
    <w:sdtEndPr>
      <w:rPr>
        <w:noProof/>
      </w:rPr>
    </w:sdtEndPr>
    <w:sdtContent>
      <w:p w14:paraId="23CC2EEC" w14:textId="77777777" w:rsidR="00D1038B" w:rsidRDefault="00D1038B">
        <w:pPr>
          <w:pStyle w:val="Footer"/>
          <w:jc w:val="center"/>
        </w:pPr>
        <w:r>
          <w:fldChar w:fldCharType="begin"/>
        </w:r>
        <w:r>
          <w:instrText xml:space="preserve"> PAGE   \* MERGEFORMAT </w:instrText>
        </w:r>
        <w:r>
          <w:fldChar w:fldCharType="separate"/>
        </w:r>
        <w:r>
          <w:rPr>
            <w:noProof/>
          </w:rPr>
          <w:t>9</w:t>
        </w:r>
        <w:r>
          <w:rPr>
            <w:noProof/>
          </w:rPr>
          <w:fldChar w:fldCharType="end"/>
        </w:r>
      </w:p>
    </w:sdtContent>
  </w:sdt>
  <w:p w14:paraId="6B30EC5F" w14:textId="77777777" w:rsidR="00D1038B" w:rsidRDefault="00D103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BC697" w14:textId="77777777" w:rsidR="00D1038B" w:rsidRDefault="00D1038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4790C" w14:textId="77777777" w:rsidR="00E02CD9" w:rsidRDefault="00E02CD9" w:rsidP="00B33BC4">
      <w:pPr>
        <w:spacing w:after="0" w:line="240" w:lineRule="auto"/>
      </w:pPr>
      <w:r>
        <w:separator/>
      </w:r>
    </w:p>
  </w:footnote>
  <w:footnote w:type="continuationSeparator" w:id="0">
    <w:p w14:paraId="217962BF" w14:textId="77777777" w:rsidR="00E02CD9" w:rsidRDefault="00E02CD9" w:rsidP="00B33B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8D4E" w14:textId="77777777" w:rsidR="00D1038B" w:rsidRDefault="00D103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648C36" w14:textId="77777777" w:rsidR="00D1038B" w:rsidRDefault="00D103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AFE31" w14:textId="77777777" w:rsidR="00D1038B" w:rsidRDefault="00D10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038D6"/>
    <w:multiLevelType w:val="hybridMultilevel"/>
    <w:tmpl w:val="BB8ED508"/>
    <w:lvl w:ilvl="0" w:tplc="276A5A46">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A7CE5"/>
    <w:multiLevelType w:val="hybridMultilevel"/>
    <w:tmpl w:val="4F9A5EA4"/>
    <w:lvl w:ilvl="0" w:tplc="35B85CE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A054152"/>
    <w:multiLevelType w:val="hybridMultilevel"/>
    <w:tmpl w:val="038AFCAE"/>
    <w:lvl w:ilvl="0" w:tplc="F9F27FD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665027"/>
    <w:multiLevelType w:val="hybridMultilevel"/>
    <w:tmpl w:val="0FFCADA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1615961"/>
    <w:multiLevelType w:val="hybridMultilevel"/>
    <w:tmpl w:val="5CCC69B4"/>
    <w:lvl w:ilvl="0" w:tplc="CE866D8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1EC3875"/>
    <w:multiLevelType w:val="hybridMultilevel"/>
    <w:tmpl w:val="4CE694D6"/>
    <w:lvl w:ilvl="0" w:tplc="959E3CAE">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8F91D69"/>
    <w:multiLevelType w:val="hybridMultilevel"/>
    <w:tmpl w:val="5F34D55E"/>
    <w:lvl w:ilvl="0" w:tplc="709E01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A787763"/>
    <w:multiLevelType w:val="hybridMultilevel"/>
    <w:tmpl w:val="C6AA0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F4565"/>
    <w:multiLevelType w:val="hybridMultilevel"/>
    <w:tmpl w:val="041AA1EC"/>
    <w:lvl w:ilvl="0" w:tplc="B23409CA">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53397F"/>
    <w:multiLevelType w:val="hybridMultilevel"/>
    <w:tmpl w:val="C6AA068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C970CDE"/>
    <w:multiLevelType w:val="hybridMultilevel"/>
    <w:tmpl w:val="758E3E28"/>
    <w:lvl w:ilvl="0" w:tplc="EF22AC2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7"/>
  </w:num>
  <w:num w:numId="4">
    <w:abstractNumId w:val="9"/>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1"/>
  </w:num>
  <w:num w:numId="10">
    <w:abstractNumId w:val="5"/>
  </w:num>
  <w:num w:numId="11">
    <w:abstractNumId w:val="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10D"/>
    <w:rsid w:val="000001F4"/>
    <w:rsid w:val="00000C9E"/>
    <w:rsid w:val="00001923"/>
    <w:rsid w:val="000113B2"/>
    <w:rsid w:val="00011510"/>
    <w:rsid w:val="00015FEA"/>
    <w:rsid w:val="00023383"/>
    <w:rsid w:val="00026941"/>
    <w:rsid w:val="00027440"/>
    <w:rsid w:val="000328A3"/>
    <w:rsid w:val="00036E73"/>
    <w:rsid w:val="00042FF9"/>
    <w:rsid w:val="00043E66"/>
    <w:rsid w:val="00045DCA"/>
    <w:rsid w:val="00046ED6"/>
    <w:rsid w:val="000472F0"/>
    <w:rsid w:val="000559EB"/>
    <w:rsid w:val="00072F92"/>
    <w:rsid w:val="00076806"/>
    <w:rsid w:val="000775D6"/>
    <w:rsid w:val="00080483"/>
    <w:rsid w:val="00085A2B"/>
    <w:rsid w:val="00087226"/>
    <w:rsid w:val="00087876"/>
    <w:rsid w:val="00091A8D"/>
    <w:rsid w:val="00092A1B"/>
    <w:rsid w:val="000937AC"/>
    <w:rsid w:val="00095042"/>
    <w:rsid w:val="000A0850"/>
    <w:rsid w:val="000A0F63"/>
    <w:rsid w:val="000A322D"/>
    <w:rsid w:val="000B1DE5"/>
    <w:rsid w:val="000B3037"/>
    <w:rsid w:val="000C024F"/>
    <w:rsid w:val="000C26FE"/>
    <w:rsid w:val="000C4D6F"/>
    <w:rsid w:val="000C6D68"/>
    <w:rsid w:val="000C7BBB"/>
    <w:rsid w:val="000D4448"/>
    <w:rsid w:val="000D4CA2"/>
    <w:rsid w:val="000D7025"/>
    <w:rsid w:val="000E71C6"/>
    <w:rsid w:val="000E753A"/>
    <w:rsid w:val="000E764D"/>
    <w:rsid w:val="000F6385"/>
    <w:rsid w:val="000F689E"/>
    <w:rsid w:val="0010077E"/>
    <w:rsid w:val="00104182"/>
    <w:rsid w:val="00106D3B"/>
    <w:rsid w:val="00110C20"/>
    <w:rsid w:val="0011277A"/>
    <w:rsid w:val="0011382F"/>
    <w:rsid w:val="001150B4"/>
    <w:rsid w:val="00117F73"/>
    <w:rsid w:val="0012281F"/>
    <w:rsid w:val="00122B00"/>
    <w:rsid w:val="00127690"/>
    <w:rsid w:val="0012789D"/>
    <w:rsid w:val="00135374"/>
    <w:rsid w:val="001456FA"/>
    <w:rsid w:val="00146A5F"/>
    <w:rsid w:val="00156952"/>
    <w:rsid w:val="00157C29"/>
    <w:rsid w:val="00160A07"/>
    <w:rsid w:val="00162293"/>
    <w:rsid w:val="00163895"/>
    <w:rsid w:val="0016405D"/>
    <w:rsid w:val="00165AFD"/>
    <w:rsid w:val="00167C6D"/>
    <w:rsid w:val="00167E44"/>
    <w:rsid w:val="0017063D"/>
    <w:rsid w:val="00172EE4"/>
    <w:rsid w:val="001818E6"/>
    <w:rsid w:val="00181E91"/>
    <w:rsid w:val="00185DD0"/>
    <w:rsid w:val="00192D7A"/>
    <w:rsid w:val="00194697"/>
    <w:rsid w:val="00195A0A"/>
    <w:rsid w:val="00195B86"/>
    <w:rsid w:val="00196B71"/>
    <w:rsid w:val="001A07D8"/>
    <w:rsid w:val="001A4E6A"/>
    <w:rsid w:val="001A666E"/>
    <w:rsid w:val="001B03DE"/>
    <w:rsid w:val="001B1293"/>
    <w:rsid w:val="001B64E3"/>
    <w:rsid w:val="001C44C1"/>
    <w:rsid w:val="001C546F"/>
    <w:rsid w:val="001C720B"/>
    <w:rsid w:val="001D275A"/>
    <w:rsid w:val="001D6501"/>
    <w:rsid w:val="00202C2B"/>
    <w:rsid w:val="002079C2"/>
    <w:rsid w:val="00212FF7"/>
    <w:rsid w:val="00220280"/>
    <w:rsid w:val="002226F4"/>
    <w:rsid w:val="00227F77"/>
    <w:rsid w:val="00232843"/>
    <w:rsid w:val="002329F8"/>
    <w:rsid w:val="00235643"/>
    <w:rsid w:val="00235D9B"/>
    <w:rsid w:val="002448FF"/>
    <w:rsid w:val="00250644"/>
    <w:rsid w:val="00253CB8"/>
    <w:rsid w:val="002542DC"/>
    <w:rsid w:val="002575F0"/>
    <w:rsid w:val="00261045"/>
    <w:rsid w:val="0026136C"/>
    <w:rsid w:val="00264763"/>
    <w:rsid w:val="002654E1"/>
    <w:rsid w:val="00265BCE"/>
    <w:rsid w:val="0027013D"/>
    <w:rsid w:val="00273F6E"/>
    <w:rsid w:val="0028224A"/>
    <w:rsid w:val="00283B73"/>
    <w:rsid w:val="002841EB"/>
    <w:rsid w:val="00284238"/>
    <w:rsid w:val="00285399"/>
    <w:rsid w:val="00285FC8"/>
    <w:rsid w:val="0029279B"/>
    <w:rsid w:val="00293518"/>
    <w:rsid w:val="00294326"/>
    <w:rsid w:val="002A3B40"/>
    <w:rsid w:val="002A3B80"/>
    <w:rsid w:val="002A599B"/>
    <w:rsid w:val="002B284D"/>
    <w:rsid w:val="002B3DAD"/>
    <w:rsid w:val="002C1ED8"/>
    <w:rsid w:val="002C4194"/>
    <w:rsid w:val="002C4EFE"/>
    <w:rsid w:val="002D123A"/>
    <w:rsid w:val="002D1729"/>
    <w:rsid w:val="002D177F"/>
    <w:rsid w:val="002D35D3"/>
    <w:rsid w:val="002D4B97"/>
    <w:rsid w:val="002E4A98"/>
    <w:rsid w:val="002E4D18"/>
    <w:rsid w:val="002E5E5C"/>
    <w:rsid w:val="002E7A0A"/>
    <w:rsid w:val="002F0429"/>
    <w:rsid w:val="002F487B"/>
    <w:rsid w:val="002F7950"/>
    <w:rsid w:val="002F7D16"/>
    <w:rsid w:val="0030101A"/>
    <w:rsid w:val="00301F87"/>
    <w:rsid w:val="003156CA"/>
    <w:rsid w:val="00316EDD"/>
    <w:rsid w:val="00324B7D"/>
    <w:rsid w:val="003265BA"/>
    <w:rsid w:val="00326F70"/>
    <w:rsid w:val="00330FE8"/>
    <w:rsid w:val="00330FEC"/>
    <w:rsid w:val="00333902"/>
    <w:rsid w:val="00334B32"/>
    <w:rsid w:val="00334C57"/>
    <w:rsid w:val="00342AA1"/>
    <w:rsid w:val="0034635B"/>
    <w:rsid w:val="00350EBF"/>
    <w:rsid w:val="003552AD"/>
    <w:rsid w:val="003563BC"/>
    <w:rsid w:val="0035725D"/>
    <w:rsid w:val="003610C3"/>
    <w:rsid w:val="00361A8F"/>
    <w:rsid w:val="0036624C"/>
    <w:rsid w:val="00374563"/>
    <w:rsid w:val="003754B2"/>
    <w:rsid w:val="00376333"/>
    <w:rsid w:val="00385B25"/>
    <w:rsid w:val="00386BA8"/>
    <w:rsid w:val="00390742"/>
    <w:rsid w:val="00390DBE"/>
    <w:rsid w:val="00397AC6"/>
    <w:rsid w:val="003A09DE"/>
    <w:rsid w:val="003A0A43"/>
    <w:rsid w:val="003A5F16"/>
    <w:rsid w:val="003A7003"/>
    <w:rsid w:val="003B4011"/>
    <w:rsid w:val="003D624C"/>
    <w:rsid w:val="003D75F6"/>
    <w:rsid w:val="003E0E43"/>
    <w:rsid w:val="003E170B"/>
    <w:rsid w:val="003E419C"/>
    <w:rsid w:val="003F44BC"/>
    <w:rsid w:val="003F59DC"/>
    <w:rsid w:val="003F5B2A"/>
    <w:rsid w:val="003F6435"/>
    <w:rsid w:val="003F6A39"/>
    <w:rsid w:val="00401B5D"/>
    <w:rsid w:val="004021AC"/>
    <w:rsid w:val="004031F9"/>
    <w:rsid w:val="004058CE"/>
    <w:rsid w:val="0040679E"/>
    <w:rsid w:val="00407DD7"/>
    <w:rsid w:val="00410731"/>
    <w:rsid w:val="00413349"/>
    <w:rsid w:val="004213C6"/>
    <w:rsid w:val="00426B02"/>
    <w:rsid w:val="004471EA"/>
    <w:rsid w:val="00447F0D"/>
    <w:rsid w:val="00450938"/>
    <w:rsid w:val="004524B1"/>
    <w:rsid w:val="0045251B"/>
    <w:rsid w:val="0045482C"/>
    <w:rsid w:val="0045710D"/>
    <w:rsid w:val="004637DA"/>
    <w:rsid w:val="00463D7C"/>
    <w:rsid w:val="004654F1"/>
    <w:rsid w:val="0046553B"/>
    <w:rsid w:val="004732F1"/>
    <w:rsid w:val="004743D4"/>
    <w:rsid w:val="00480250"/>
    <w:rsid w:val="004816A6"/>
    <w:rsid w:val="00483DBA"/>
    <w:rsid w:val="00484456"/>
    <w:rsid w:val="004872D1"/>
    <w:rsid w:val="004878FB"/>
    <w:rsid w:val="004972A7"/>
    <w:rsid w:val="00497A24"/>
    <w:rsid w:val="004A0E58"/>
    <w:rsid w:val="004A5334"/>
    <w:rsid w:val="004B0C0D"/>
    <w:rsid w:val="004B3108"/>
    <w:rsid w:val="004B74E0"/>
    <w:rsid w:val="004D35AB"/>
    <w:rsid w:val="004D3696"/>
    <w:rsid w:val="004D44BB"/>
    <w:rsid w:val="004D71BC"/>
    <w:rsid w:val="004E2716"/>
    <w:rsid w:val="004E49E1"/>
    <w:rsid w:val="004E6AE8"/>
    <w:rsid w:val="004F0183"/>
    <w:rsid w:val="004F2813"/>
    <w:rsid w:val="004F5DCC"/>
    <w:rsid w:val="005061D9"/>
    <w:rsid w:val="00506D8F"/>
    <w:rsid w:val="005100D4"/>
    <w:rsid w:val="00514597"/>
    <w:rsid w:val="0051543D"/>
    <w:rsid w:val="00520F65"/>
    <w:rsid w:val="00526B9B"/>
    <w:rsid w:val="00534126"/>
    <w:rsid w:val="005359B9"/>
    <w:rsid w:val="00540A62"/>
    <w:rsid w:val="00541B95"/>
    <w:rsid w:val="00546F68"/>
    <w:rsid w:val="005528A9"/>
    <w:rsid w:val="0055296F"/>
    <w:rsid w:val="00554E4C"/>
    <w:rsid w:val="00562B08"/>
    <w:rsid w:val="00562C61"/>
    <w:rsid w:val="0056380A"/>
    <w:rsid w:val="005711B6"/>
    <w:rsid w:val="0057313F"/>
    <w:rsid w:val="00575458"/>
    <w:rsid w:val="0057564E"/>
    <w:rsid w:val="0058056E"/>
    <w:rsid w:val="00580B1F"/>
    <w:rsid w:val="0059276C"/>
    <w:rsid w:val="005A2684"/>
    <w:rsid w:val="005B1F47"/>
    <w:rsid w:val="005B47D8"/>
    <w:rsid w:val="005C5E6C"/>
    <w:rsid w:val="005C7810"/>
    <w:rsid w:val="005D3C9C"/>
    <w:rsid w:val="005D5209"/>
    <w:rsid w:val="005D5CE1"/>
    <w:rsid w:val="005D6C92"/>
    <w:rsid w:val="005D7BA5"/>
    <w:rsid w:val="005E35AB"/>
    <w:rsid w:val="005F48FB"/>
    <w:rsid w:val="006011A7"/>
    <w:rsid w:val="00603322"/>
    <w:rsid w:val="00607892"/>
    <w:rsid w:val="00607A6C"/>
    <w:rsid w:val="00612134"/>
    <w:rsid w:val="00613009"/>
    <w:rsid w:val="0061307B"/>
    <w:rsid w:val="00616F9F"/>
    <w:rsid w:val="006209E4"/>
    <w:rsid w:val="00623DD8"/>
    <w:rsid w:val="006256F0"/>
    <w:rsid w:val="00630613"/>
    <w:rsid w:val="00631E8E"/>
    <w:rsid w:val="00635285"/>
    <w:rsid w:val="006440D7"/>
    <w:rsid w:val="00651321"/>
    <w:rsid w:val="0065788F"/>
    <w:rsid w:val="00660E8C"/>
    <w:rsid w:val="006619A3"/>
    <w:rsid w:val="00663B22"/>
    <w:rsid w:val="00670E4F"/>
    <w:rsid w:val="00680673"/>
    <w:rsid w:val="00681626"/>
    <w:rsid w:val="00681E39"/>
    <w:rsid w:val="00682D42"/>
    <w:rsid w:val="00682EB3"/>
    <w:rsid w:val="00683592"/>
    <w:rsid w:val="00683DEE"/>
    <w:rsid w:val="00684DCD"/>
    <w:rsid w:val="00690AF1"/>
    <w:rsid w:val="006927A1"/>
    <w:rsid w:val="00693A03"/>
    <w:rsid w:val="00695619"/>
    <w:rsid w:val="00696471"/>
    <w:rsid w:val="006A1492"/>
    <w:rsid w:val="006A1C0F"/>
    <w:rsid w:val="006A1CBD"/>
    <w:rsid w:val="006A2AA4"/>
    <w:rsid w:val="006A388C"/>
    <w:rsid w:val="006B18DF"/>
    <w:rsid w:val="006B5A3F"/>
    <w:rsid w:val="006B6837"/>
    <w:rsid w:val="006B6A01"/>
    <w:rsid w:val="006B7E61"/>
    <w:rsid w:val="006C0EC8"/>
    <w:rsid w:val="006C3C74"/>
    <w:rsid w:val="006C7753"/>
    <w:rsid w:val="006C7CDD"/>
    <w:rsid w:val="006D1CA1"/>
    <w:rsid w:val="006D4CCB"/>
    <w:rsid w:val="006D560B"/>
    <w:rsid w:val="006D6A66"/>
    <w:rsid w:val="006E2ACA"/>
    <w:rsid w:val="006F265D"/>
    <w:rsid w:val="006F5E2D"/>
    <w:rsid w:val="006F7620"/>
    <w:rsid w:val="00700B53"/>
    <w:rsid w:val="00704FB2"/>
    <w:rsid w:val="00710DBE"/>
    <w:rsid w:val="00712276"/>
    <w:rsid w:val="00713DF7"/>
    <w:rsid w:val="007163B5"/>
    <w:rsid w:val="0072101D"/>
    <w:rsid w:val="0072348A"/>
    <w:rsid w:val="00725993"/>
    <w:rsid w:val="00725B99"/>
    <w:rsid w:val="00730688"/>
    <w:rsid w:val="00733DE0"/>
    <w:rsid w:val="00734619"/>
    <w:rsid w:val="007361CF"/>
    <w:rsid w:val="007376A4"/>
    <w:rsid w:val="00740AB1"/>
    <w:rsid w:val="0074130A"/>
    <w:rsid w:val="0074227F"/>
    <w:rsid w:val="00742F80"/>
    <w:rsid w:val="007436FB"/>
    <w:rsid w:val="00746B17"/>
    <w:rsid w:val="00747062"/>
    <w:rsid w:val="007543B5"/>
    <w:rsid w:val="00755BBD"/>
    <w:rsid w:val="00755ECF"/>
    <w:rsid w:val="00761C59"/>
    <w:rsid w:val="00763E64"/>
    <w:rsid w:val="00765CE2"/>
    <w:rsid w:val="00767A92"/>
    <w:rsid w:val="00772233"/>
    <w:rsid w:val="0077332E"/>
    <w:rsid w:val="00773555"/>
    <w:rsid w:val="00773667"/>
    <w:rsid w:val="00774035"/>
    <w:rsid w:val="00781552"/>
    <w:rsid w:val="00785DEC"/>
    <w:rsid w:val="00794277"/>
    <w:rsid w:val="00794DA4"/>
    <w:rsid w:val="00796F74"/>
    <w:rsid w:val="007A48C0"/>
    <w:rsid w:val="007B299F"/>
    <w:rsid w:val="007C170D"/>
    <w:rsid w:val="007C2E5C"/>
    <w:rsid w:val="007C53A8"/>
    <w:rsid w:val="007C6DE8"/>
    <w:rsid w:val="007D2CA6"/>
    <w:rsid w:val="007D46BC"/>
    <w:rsid w:val="007E03A3"/>
    <w:rsid w:val="007E08E9"/>
    <w:rsid w:val="007E38F1"/>
    <w:rsid w:val="007E6A27"/>
    <w:rsid w:val="007E7C16"/>
    <w:rsid w:val="007F2DCE"/>
    <w:rsid w:val="007F493F"/>
    <w:rsid w:val="007F4BE6"/>
    <w:rsid w:val="007F5823"/>
    <w:rsid w:val="00800DB0"/>
    <w:rsid w:val="00807A61"/>
    <w:rsid w:val="00812081"/>
    <w:rsid w:val="00824E94"/>
    <w:rsid w:val="00826DFE"/>
    <w:rsid w:val="00827DF3"/>
    <w:rsid w:val="008313F8"/>
    <w:rsid w:val="00836E18"/>
    <w:rsid w:val="008419FD"/>
    <w:rsid w:val="00850856"/>
    <w:rsid w:val="00851992"/>
    <w:rsid w:val="008670F4"/>
    <w:rsid w:val="00867EF9"/>
    <w:rsid w:val="00870F40"/>
    <w:rsid w:val="00872674"/>
    <w:rsid w:val="00875514"/>
    <w:rsid w:val="00875631"/>
    <w:rsid w:val="00876B1A"/>
    <w:rsid w:val="0088104D"/>
    <w:rsid w:val="00881553"/>
    <w:rsid w:val="00882898"/>
    <w:rsid w:val="008848F7"/>
    <w:rsid w:val="0088678D"/>
    <w:rsid w:val="0089011B"/>
    <w:rsid w:val="00892674"/>
    <w:rsid w:val="0089326C"/>
    <w:rsid w:val="00894FA1"/>
    <w:rsid w:val="008A2769"/>
    <w:rsid w:val="008A7E2E"/>
    <w:rsid w:val="008B1440"/>
    <w:rsid w:val="008B16DD"/>
    <w:rsid w:val="008B545B"/>
    <w:rsid w:val="008C0622"/>
    <w:rsid w:val="008C1628"/>
    <w:rsid w:val="008C3BA3"/>
    <w:rsid w:val="008D3DDA"/>
    <w:rsid w:val="008D6DEB"/>
    <w:rsid w:val="008E1501"/>
    <w:rsid w:val="008E46EF"/>
    <w:rsid w:val="008E49F5"/>
    <w:rsid w:val="008E5AF5"/>
    <w:rsid w:val="008F0978"/>
    <w:rsid w:val="008F32D5"/>
    <w:rsid w:val="0090036C"/>
    <w:rsid w:val="00901C40"/>
    <w:rsid w:val="00903221"/>
    <w:rsid w:val="00907D02"/>
    <w:rsid w:val="00911037"/>
    <w:rsid w:val="0091339A"/>
    <w:rsid w:val="009157A4"/>
    <w:rsid w:val="0092689B"/>
    <w:rsid w:val="00946921"/>
    <w:rsid w:val="00960E6D"/>
    <w:rsid w:val="009633F4"/>
    <w:rsid w:val="00963DC7"/>
    <w:rsid w:val="00971447"/>
    <w:rsid w:val="00977461"/>
    <w:rsid w:val="00982836"/>
    <w:rsid w:val="009831B5"/>
    <w:rsid w:val="00984372"/>
    <w:rsid w:val="00990499"/>
    <w:rsid w:val="00991FB0"/>
    <w:rsid w:val="0099207A"/>
    <w:rsid w:val="0099769F"/>
    <w:rsid w:val="009A0D83"/>
    <w:rsid w:val="009A2C85"/>
    <w:rsid w:val="009A379C"/>
    <w:rsid w:val="009A4E00"/>
    <w:rsid w:val="009A65CA"/>
    <w:rsid w:val="009A6D00"/>
    <w:rsid w:val="009B0BAA"/>
    <w:rsid w:val="009B0D39"/>
    <w:rsid w:val="009B2182"/>
    <w:rsid w:val="009B2FAE"/>
    <w:rsid w:val="009C0DDC"/>
    <w:rsid w:val="009C0EB9"/>
    <w:rsid w:val="009C37B2"/>
    <w:rsid w:val="009C5DD3"/>
    <w:rsid w:val="009C76B1"/>
    <w:rsid w:val="009C7AC1"/>
    <w:rsid w:val="009D2B0D"/>
    <w:rsid w:val="009D516A"/>
    <w:rsid w:val="009D7393"/>
    <w:rsid w:val="009E215C"/>
    <w:rsid w:val="009E226B"/>
    <w:rsid w:val="009E4F00"/>
    <w:rsid w:val="009E720F"/>
    <w:rsid w:val="009F06A8"/>
    <w:rsid w:val="009F0B43"/>
    <w:rsid w:val="009F0DCB"/>
    <w:rsid w:val="009F11ED"/>
    <w:rsid w:val="009F32E9"/>
    <w:rsid w:val="009F4133"/>
    <w:rsid w:val="009F5D69"/>
    <w:rsid w:val="009F7727"/>
    <w:rsid w:val="00A01088"/>
    <w:rsid w:val="00A031A8"/>
    <w:rsid w:val="00A03F7A"/>
    <w:rsid w:val="00A1015A"/>
    <w:rsid w:val="00A11B95"/>
    <w:rsid w:val="00A12734"/>
    <w:rsid w:val="00A12FA0"/>
    <w:rsid w:val="00A1435E"/>
    <w:rsid w:val="00A16479"/>
    <w:rsid w:val="00A2026F"/>
    <w:rsid w:val="00A23466"/>
    <w:rsid w:val="00A26D70"/>
    <w:rsid w:val="00A35A28"/>
    <w:rsid w:val="00A361E2"/>
    <w:rsid w:val="00A36625"/>
    <w:rsid w:val="00A40C34"/>
    <w:rsid w:val="00A41687"/>
    <w:rsid w:val="00A41C1C"/>
    <w:rsid w:val="00A424C8"/>
    <w:rsid w:val="00A44A0B"/>
    <w:rsid w:val="00A5005C"/>
    <w:rsid w:val="00A512AE"/>
    <w:rsid w:val="00A51FB6"/>
    <w:rsid w:val="00A54A30"/>
    <w:rsid w:val="00A5660D"/>
    <w:rsid w:val="00A579F1"/>
    <w:rsid w:val="00A6693E"/>
    <w:rsid w:val="00A72A86"/>
    <w:rsid w:val="00A76F18"/>
    <w:rsid w:val="00A85F3D"/>
    <w:rsid w:val="00A92C78"/>
    <w:rsid w:val="00A92F56"/>
    <w:rsid w:val="00A92FCE"/>
    <w:rsid w:val="00A96C15"/>
    <w:rsid w:val="00AA0198"/>
    <w:rsid w:val="00AA0675"/>
    <w:rsid w:val="00AA32DD"/>
    <w:rsid w:val="00AA4145"/>
    <w:rsid w:val="00AA43FE"/>
    <w:rsid w:val="00AA5653"/>
    <w:rsid w:val="00AA5900"/>
    <w:rsid w:val="00AA723F"/>
    <w:rsid w:val="00AB0BBC"/>
    <w:rsid w:val="00AB157A"/>
    <w:rsid w:val="00AB74B6"/>
    <w:rsid w:val="00AC12A0"/>
    <w:rsid w:val="00AC6271"/>
    <w:rsid w:val="00AC6327"/>
    <w:rsid w:val="00AD3EC3"/>
    <w:rsid w:val="00AD4F94"/>
    <w:rsid w:val="00AD6724"/>
    <w:rsid w:val="00AE3C9F"/>
    <w:rsid w:val="00AE4B1A"/>
    <w:rsid w:val="00AF4C71"/>
    <w:rsid w:val="00AF5D44"/>
    <w:rsid w:val="00B04C2D"/>
    <w:rsid w:val="00B05C97"/>
    <w:rsid w:val="00B07201"/>
    <w:rsid w:val="00B10011"/>
    <w:rsid w:val="00B11771"/>
    <w:rsid w:val="00B139C1"/>
    <w:rsid w:val="00B14F6E"/>
    <w:rsid w:val="00B17EAD"/>
    <w:rsid w:val="00B20C41"/>
    <w:rsid w:val="00B26325"/>
    <w:rsid w:val="00B31A7C"/>
    <w:rsid w:val="00B3278B"/>
    <w:rsid w:val="00B33825"/>
    <w:rsid w:val="00B33BC4"/>
    <w:rsid w:val="00B35912"/>
    <w:rsid w:val="00B406C7"/>
    <w:rsid w:val="00B40A26"/>
    <w:rsid w:val="00B44608"/>
    <w:rsid w:val="00B47417"/>
    <w:rsid w:val="00B544E0"/>
    <w:rsid w:val="00B56088"/>
    <w:rsid w:val="00B67277"/>
    <w:rsid w:val="00B714FD"/>
    <w:rsid w:val="00B723D6"/>
    <w:rsid w:val="00B74765"/>
    <w:rsid w:val="00B74E09"/>
    <w:rsid w:val="00B74E31"/>
    <w:rsid w:val="00B7626A"/>
    <w:rsid w:val="00B76FD2"/>
    <w:rsid w:val="00B81125"/>
    <w:rsid w:val="00B84A26"/>
    <w:rsid w:val="00B85DA1"/>
    <w:rsid w:val="00B90FA6"/>
    <w:rsid w:val="00B9705E"/>
    <w:rsid w:val="00B977D3"/>
    <w:rsid w:val="00B97B43"/>
    <w:rsid w:val="00BA04D2"/>
    <w:rsid w:val="00BA2B77"/>
    <w:rsid w:val="00BA5F4C"/>
    <w:rsid w:val="00BB5BC3"/>
    <w:rsid w:val="00BB7AA9"/>
    <w:rsid w:val="00BC2B2A"/>
    <w:rsid w:val="00BC4F92"/>
    <w:rsid w:val="00BC793A"/>
    <w:rsid w:val="00BD139C"/>
    <w:rsid w:val="00BE5F5B"/>
    <w:rsid w:val="00BE7FB1"/>
    <w:rsid w:val="00BF0AF8"/>
    <w:rsid w:val="00BF3665"/>
    <w:rsid w:val="00BF6CAB"/>
    <w:rsid w:val="00C012D1"/>
    <w:rsid w:val="00C04B58"/>
    <w:rsid w:val="00C07846"/>
    <w:rsid w:val="00C17342"/>
    <w:rsid w:val="00C213B1"/>
    <w:rsid w:val="00C22C60"/>
    <w:rsid w:val="00C22F9D"/>
    <w:rsid w:val="00C2426D"/>
    <w:rsid w:val="00C25C08"/>
    <w:rsid w:val="00C363A8"/>
    <w:rsid w:val="00C36F8D"/>
    <w:rsid w:val="00C4438E"/>
    <w:rsid w:val="00C45F79"/>
    <w:rsid w:val="00C4631A"/>
    <w:rsid w:val="00C50CCE"/>
    <w:rsid w:val="00C60B68"/>
    <w:rsid w:val="00C61211"/>
    <w:rsid w:val="00C61AF8"/>
    <w:rsid w:val="00C66DAF"/>
    <w:rsid w:val="00C66EB6"/>
    <w:rsid w:val="00C70109"/>
    <w:rsid w:val="00C74D6C"/>
    <w:rsid w:val="00C76165"/>
    <w:rsid w:val="00C76D26"/>
    <w:rsid w:val="00C770C2"/>
    <w:rsid w:val="00C80352"/>
    <w:rsid w:val="00C806FD"/>
    <w:rsid w:val="00C8070C"/>
    <w:rsid w:val="00C824AF"/>
    <w:rsid w:val="00C92B59"/>
    <w:rsid w:val="00C931E2"/>
    <w:rsid w:val="00C93399"/>
    <w:rsid w:val="00CA15BC"/>
    <w:rsid w:val="00CA3834"/>
    <w:rsid w:val="00CA517C"/>
    <w:rsid w:val="00CA7419"/>
    <w:rsid w:val="00CB3AD0"/>
    <w:rsid w:val="00CB61EA"/>
    <w:rsid w:val="00CB79CE"/>
    <w:rsid w:val="00CC2808"/>
    <w:rsid w:val="00CD1FC3"/>
    <w:rsid w:val="00CE6084"/>
    <w:rsid w:val="00CE725E"/>
    <w:rsid w:val="00D05B84"/>
    <w:rsid w:val="00D07177"/>
    <w:rsid w:val="00D1038B"/>
    <w:rsid w:val="00D1102A"/>
    <w:rsid w:val="00D12A2F"/>
    <w:rsid w:val="00D16980"/>
    <w:rsid w:val="00D20B41"/>
    <w:rsid w:val="00D27AAD"/>
    <w:rsid w:val="00D30ED0"/>
    <w:rsid w:val="00D32854"/>
    <w:rsid w:val="00D33B1E"/>
    <w:rsid w:val="00D363BE"/>
    <w:rsid w:val="00D55438"/>
    <w:rsid w:val="00D55B7F"/>
    <w:rsid w:val="00D56B98"/>
    <w:rsid w:val="00D57DB5"/>
    <w:rsid w:val="00D63985"/>
    <w:rsid w:val="00D63DE4"/>
    <w:rsid w:val="00D64329"/>
    <w:rsid w:val="00D646F6"/>
    <w:rsid w:val="00D72BAF"/>
    <w:rsid w:val="00D72FAD"/>
    <w:rsid w:val="00D77B00"/>
    <w:rsid w:val="00D82A5C"/>
    <w:rsid w:val="00D84C36"/>
    <w:rsid w:val="00D84ECD"/>
    <w:rsid w:val="00D9345F"/>
    <w:rsid w:val="00D93C70"/>
    <w:rsid w:val="00DA0B67"/>
    <w:rsid w:val="00DA22D4"/>
    <w:rsid w:val="00DA3C58"/>
    <w:rsid w:val="00DA4D1C"/>
    <w:rsid w:val="00DB11EB"/>
    <w:rsid w:val="00DC56A6"/>
    <w:rsid w:val="00DC5B33"/>
    <w:rsid w:val="00DD16C4"/>
    <w:rsid w:val="00DD1EDA"/>
    <w:rsid w:val="00DD20C0"/>
    <w:rsid w:val="00DE1595"/>
    <w:rsid w:val="00DE2404"/>
    <w:rsid w:val="00DE3C1A"/>
    <w:rsid w:val="00DE4C47"/>
    <w:rsid w:val="00DE693B"/>
    <w:rsid w:val="00DF0E8A"/>
    <w:rsid w:val="00DF44E4"/>
    <w:rsid w:val="00DF5057"/>
    <w:rsid w:val="00DF7AF3"/>
    <w:rsid w:val="00E000FA"/>
    <w:rsid w:val="00E01C3D"/>
    <w:rsid w:val="00E021A5"/>
    <w:rsid w:val="00E02CD9"/>
    <w:rsid w:val="00E05185"/>
    <w:rsid w:val="00E07726"/>
    <w:rsid w:val="00E170B8"/>
    <w:rsid w:val="00E1733A"/>
    <w:rsid w:val="00E206B5"/>
    <w:rsid w:val="00E243B2"/>
    <w:rsid w:val="00E32182"/>
    <w:rsid w:val="00E32966"/>
    <w:rsid w:val="00E3363B"/>
    <w:rsid w:val="00E40280"/>
    <w:rsid w:val="00E432EB"/>
    <w:rsid w:val="00E471C4"/>
    <w:rsid w:val="00E50CC2"/>
    <w:rsid w:val="00E52E17"/>
    <w:rsid w:val="00E54E2B"/>
    <w:rsid w:val="00E62353"/>
    <w:rsid w:val="00E63534"/>
    <w:rsid w:val="00E71A36"/>
    <w:rsid w:val="00E71E47"/>
    <w:rsid w:val="00E74225"/>
    <w:rsid w:val="00E81170"/>
    <w:rsid w:val="00E8448E"/>
    <w:rsid w:val="00E84D9F"/>
    <w:rsid w:val="00E854AF"/>
    <w:rsid w:val="00E8591B"/>
    <w:rsid w:val="00E87298"/>
    <w:rsid w:val="00E87489"/>
    <w:rsid w:val="00EA2944"/>
    <w:rsid w:val="00EA3BA4"/>
    <w:rsid w:val="00EA7F07"/>
    <w:rsid w:val="00EB19B7"/>
    <w:rsid w:val="00EB1BCC"/>
    <w:rsid w:val="00EC264E"/>
    <w:rsid w:val="00EC6D42"/>
    <w:rsid w:val="00ED1AE6"/>
    <w:rsid w:val="00EE2CD6"/>
    <w:rsid w:val="00EE5B03"/>
    <w:rsid w:val="00EE6AA6"/>
    <w:rsid w:val="00EF1758"/>
    <w:rsid w:val="00EF2337"/>
    <w:rsid w:val="00EF34F1"/>
    <w:rsid w:val="00EF4C98"/>
    <w:rsid w:val="00EF5DDD"/>
    <w:rsid w:val="00EF6E30"/>
    <w:rsid w:val="00F03E34"/>
    <w:rsid w:val="00F04E14"/>
    <w:rsid w:val="00F10C3E"/>
    <w:rsid w:val="00F1367F"/>
    <w:rsid w:val="00F13ABB"/>
    <w:rsid w:val="00F1754F"/>
    <w:rsid w:val="00F26691"/>
    <w:rsid w:val="00F2744E"/>
    <w:rsid w:val="00F34955"/>
    <w:rsid w:val="00F415A1"/>
    <w:rsid w:val="00F44FCC"/>
    <w:rsid w:val="00F46718"/>
    <w:rsid w:val="00F56566"/>
    <w:rsid w:val="00F5679D"/>
    <w:rsid w:val="00F57A7B"/>
    <w:rsid w:val="00F71A9B"/>
    <w:rsid w:val="00F71F30"/>
    <w:rsid w:val="00F735CE"/>
    <w:rsid w:val="00F739F9"/>
    <w:rsid w:val="00F73DA2"/>
    <w:rsid w:val="00F73F8D"/>
    <w:rsid w:val="00F7409A"/>
    <w:rsid w:val="00F76E94"/>
    <w:rsid w:val="00F81E13"/>
    <w:rsid w:val="00F85338"/>
    <w:rsid w:val="00F85DE6"/>
    <w:rsid w:val="00F92095"/>
    <w:rsid w:val="00F93281"/>
    <w:rsid w:val="00F93B11"/>
    <w:rsid w:val="00F93C72"/>
    <w:rsid w:val="00F977AC"/>
    <w:rsid w:val="00FA3DCC"/>
    <w:rsid w:val="00FA4F47"/>
    <w:rsid w:val="00FA5113"/>
    <w:rsid w:val="00FA742E"/>
    <w:rsid w:val="00FB0E41"/>
    <w:rsid w:val="00FB4AE7"/>
    <w:rsid w:val="00FC187C"/>
    <w:rsid w:val="00FC2A9E"/>
    <w:rsid w:val="00FC5A10"/>
    <w:rsid w:val="00FD3B5A"/>
    <w:rsid w:val="00FD6E70"/>
    <w:rsid w:val="00FE07BA"/>
    <w:rsid w:val="00FE09F1"/>
    <w:rsid w:val="00FF5C7A"/>
    <w:rsid w:val="00FF6BF4"/>
    <w:rsid w:val="15DABA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5BA596A"/>
  <w15:docId w15:val="{A7DB7675-47B5-423D-A203-0395C07F0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571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710D"/>
    <w:rPr>
      <w:rFonts w:ascii="Tahoma" w:hAnsi="Tahoma" w:cs="Tahoma"/>
      <w:sz w:val="16"/>
      <w:szCs w:val="16"/>
    </w:rPr>
  </w:style>
  <w:style w:type="table" w:styleId="TableGrid">
    <w:name w:val="Table Grid"/>
    <w:basedOn w:val="TableNormal"/>
    <w:uiPriority w:val="59"/>
    <w:rsid w:val="00457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5710D"/>
    <w:rPr>
      <w:color w:val="0000FF"/>
      <w:u w:val="single"/>
    </w:rPr>
  </w:style>
  <w:style w:type="paragraph" w:styleId="ListParagraph">
    <w:name w:val="List Paragraph"/>
    <w:basedOn w:val="Normal"/>
    <w:uiPriority w:val="34"/>
    <w:qFormat/>
    <w:rsid w:val="00C76D26"/>
    <w:pPr>
      <w:ind w:left="720"/>
      <w:contextualSpacing/>
    </w:pPr>
  </w:style>
  <w:style w:type="character" w:styleId="FollowedHyperlink">
    <w:name w:val="FollowedHyperlink"/>
    <w:basedOn w:val="DefaultParagraphFont"/>
    <w:uiPriority w:val="99"/>
    <w:semiHidden/>
    <w:unhideWhenUsed/>
    <w:rsid w:val="008F0978"/>
    <w:rPr>
      <w:color w:val="919191" w:themeColor="followedHyperlink"/>
      <w:u w:val="single"/>
    </w:rPr>
  </w:style>
  <w:style w:type="paragraph" w:styleId="Header">
    <w:name w:val="header"/>
    <w:basedOn w:val="Normal"/>
    <w:link w:val="HeaderChar"/>
    <w:uiPriority w:val="99"/>
    <w:unhideWhenUsed/>
    <w:rsid w:val="00B33B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3BC4"/>
  </w:style>
  <w:style w:type="paragraph" w:styleId="Footer">
    <w:name w:val="footer"/>
    <w:basedOn w:val="Normal"/>
    <w:link w:val="FooterChar"/>
    <w:uiPriority w:val="99"/>
    <w:unhideWhenUsed/>
    <w:rsid w:val="00B33B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3BC4"/>
  </w:style>
  <w:style w:type="character" w:styleId="UnresolvedMention">
    <w:name w:val="Unresolved Mention"/>
    <w:basedOn w:val="DefaultParagraphFont"/>
    <w:uiPriority w:val="99"/>
    <w:semiHidden/>
    <w:unhideWhenUsed/>
    <w:rsid w:val="004816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18061">
      <w:bodyDiv w:val="1"/>
      <w:marLeft w:val="0"/>
      <w:marRight w:val="0"/>
      <w:marTop w:val="0"/>
      <w:marBottom w:val="0"/>
      <w:divBdr>
        <w:top w:val="none" w:sz="0" w:space="0" w:color="auto"/>
        <w:left w:val="none" w:sz="0" w:space="0" w:color="auto"/>
        <w:bottom w:val="none" w:sz="0" w:space="0" w:color="auto"/>
        <w:right w:val="none" w:sz="0" w:space="0" w:color="auto"/>
      </w:divBdr>
    </w:div>
    <w:div w:id="230888944">
      <w:bodyDiv w:val="1"/>
      <w:marLeft w:val="0"/>
      <w:marRight w:val="0"/>
      <w:marTop w:val="0"/>
      <w:marBottom w:val="0"/>
      <w:divBdr>
        <w:top w:val="none" w:sz="0" w:space="0" w:color="auto"/>
        <w:left w:val="none" w:sz="0" w:space="0" w:color="auto"/>
        <w:bottom w:val="none" w:sz="0" w:space="0" w:color="auto"/>
        <w:right w:val="none" w:sz="0" w:space="0" w:color="auto"/>
      </w:divBdr>
    </w:div>
    <w:div w:id="282883153">
      <w:bodyDiv w:val="1"/>
      <w:marLeft w:val="0"/>
      <w:marRight w:val="0"/>
      <w:marTop w:val="0"/>
      <w:marBottom w:val="0"/>
      <w:divBdr>
        <w:top w:val="none" w:sz="0" w:space="0" w:color="auto"/>
        <w:left w:val="none" w:sz="0" w:space="0" w:color="auto"/>
        <w:bottom w:val="none" w:sz="0" w:space="0" w:color="auto"/>
        <w:right w:val="none" w:sz="0" w:space="0" w:color="auto"/>
      </w:divBdr>
    </w:div>
    <w:div w:id="373506145">
      <w:bodyDiv w:val="1"/>
      <w:marLeft w:val="0"/>
      <w:marRight w:val="0"/>
      <w:marTop w:val="0"/>
      <w:marBottom w:val="0"/>
      <w:divBdr>
        <w:top w:val="none" w:sz="0" w:space="0" w:color="auto"/>
        <w:left w:val="none" w:sz="0" w:space="0" w:color="auto"/>
        <w:bottom w:val="none" w:sz="0" w:space="0" w:color="auto"/>
        <w:right w:val="none" w:sz="0" w:space="0" w:color="auto"/>
      </w:divBdr>
    </w:div>
    <w:div w:id="405419852">
      <w:bodyDiv w:val="1"/>
      <w:marLeft w:val="0"/>
      <w:marRight w:val="0"/>
      <w:marTop w:val="0"/>
      <w:marBottom w:val="0"/>
      <w:divBdr>
        <w:top w:val="none" w:sz="0" w:space="0" w:color="auto"/>
        <w:left w:val="none" w:sz="0" w:space="0" w:color="auto"/>
        <w:bottom w:val="none" w:sz="0" w:space="0" w:color="auto"/>
        <w:right w:val="none" w:sz="0" w:space="0" w:color="auto"/>
      </w:divBdr>
    </w:div>
    <w:div w:id="410469856">
      <w:bodyDiv w:val="1"/>
      <w:marLeft w:val="0"/>
      <w:marRight w:val="0"/>
      <w:marTop w:val="0"/>
      <w:marBottom w:val="0"/>
      <w:divBdr>
        <w:top w:val="none" w:sz="0" w:space="0" w:color="auto"/>
        <w:left w:val="none" w:sz="0" w:space="0" w:color="auto"/>
        <w:bottom w:val="none" w:sz="0" w:space="0" w:color="auto"/>
        <w:right w:val="none" w:sz="0" w:space="0" w:color="auto"/>
      </w:divBdr>
    </w:div>
    <w:div w:id="541401911">
      <w:bodyDiv w:val="1"/>
      <w:marLeft w:val="0"/>
      <w:marRight w:val="0"/>
      <w:marTop w:val="0"/>
      <w:marBottom w:val="0"/>
      <w:divBdr>
        <w:top w:val="none" w:sz="0" w:space="0" w:color="auto"/>
        <w:left w:val="none" w:sz="0" w:space="0" w:color="auto"/>
        <w:bottom w:val="none" w:sz="0" w:space="0" w:color="auto"/>
        <w:right w:val="none" w:sz="0" w:space="0" w:color="auto"/>
      </w:divBdr>
    </w:div>
    <w:div w:id="720448212">
      <w:bodyDiv w:val="1"/>
      <w:marLeft w:val="0"/>
      <w:marRight w:val="0"/>
      <w:marTop w:val="0"/>
      <w:marBottom w:val="0"/>
      <w:divBdr>
        <w:top w:val="none" w:sz="0" w:space="0" w:color="auto"/>
        <w:left w:val="none" w:sz="0" w:space="0" w:color="auto"/>
        <w:bottom w:val="none" w:sz="0" w:space="0" w:color="auto"/>
        <w:right w:val="none" w:sz="0" w:space="0" w:color="auto"/>
      </w:divBdr>
    </w:div>
    <w:div w:id="893662771">
      <w:bodyDiv w:val="1"/>
      <w:marLeft w:val="0"/>
      <w:marRight w:val="0"/>
      <w:marTop w:val="0"/>
      <w:marBottom w:val="0"/>
      <w:divBdr>
        <w:top w:val="none" w:sz="0" w:space="0" w:color="auto"/>
        <w:left w:val="none" w:sz="0" w:space="0" w:color="auto"/>
        <w:bottom w:val="none" w:sz="0" w:space="0" w:color="auto"/>
        <w:right w:val="none" w:sz="0" w:space="0" w:color="auto"/>
      </w:divBdr>
    </w:div>
    <w:div w:id="909384342">
      <w:bodyDiv w:val="1"/>
      <w:marLeft w:val="0"/>
      <w:marRight w:val="0"/>
      <w:marTop w:val="0"/>
      <w:marBottom w:val="0"/>
      <w:divBdr>
        <w:top w:val="none" w:sz="0" w:space="0" w:color="auto"/>
        <w:left w:val="none" w:sz="0" w:space="0" w:color="auto"/>
        <w:bottom w:val="none" w:sz="0" w:space="0" w:color="auto"/>
        <w:right w:val="none" w:sz="0" w:space="0" w:color="auto"/>
      </w:divBdr>
    </w:div>
    <w:div w:id="1007555667">
      <w:bodyDiv w:val="1"/>
      <w:marLeft w:val="0"/>
      <w:marRight w:val="0"/>
      <w:marTop w:val="0"/>
      <w:marBottom w:val="0"/>
      <w:divBdr>
        <w:top w:val="none" w:sz="0" w:space="0" w:color="auto"/>
        <w:left w:val="none" w:sz="0" w:space="0" w:color="auto"/>
        <w:bottom w:val="none" w:sz="0" w:space="0" w:color="auto"/>
        <w:right w:val="none" w:sz="0" w:space="0" w:color="auto"/>
      </w:divBdr>
    </w:div>
    <w:div w:id="1031884391">
      <w:bodyDiv w:val="1"/>
      <w:marLeft w:val="0"/>
      <w:marRight w:val="0"/>
      <w:marTop w:val="0"/>
      <w:marBottom w:val="0"/>
      <w:divBdr>
        <w:top w:val="none" w:sz="0" w:space="0" w:color="auto"/>
        <w:left w:val="none" w:sz="0" w:space="0" w:color="auto"/>
        <w:bottom w:val="none" w:sz="0" w:space="0" w:color="auto"/>
        <w:right w:val="none" w:sz="0" w:space="0" w:color="auto"/>
      </w:divBdr>
    </w:div>
    <w:div w:id="1044868430">
      <w:bodyDiv w:val="1"/>
      <w:marLeft w:val="0"/>
      <w:marRight w:val="0"/>
      <w:marTop w:val="0"/>
      <w:marBottom w:val="0"/>
      <w:divBdr>
        <w:top w:val="none" w:sz="0" w:space="0" w:color="auto"/>
        <w:left w:val="none" w:sz="0" w:space="0" w:color="auto"/>
        <w:bottom w:val="none" w:sz="0" w:space="0" w:color="auto"/>
        <w:right w:val="none" w:sz="0" w:space="0" w:color="auto"/>
      </w:divBdr>
    </w:div>
    <w:div w:id="1068109259">
      <w:bodyDiv w:val="1"/>
      <w:marLeft w:val="0"/>
      <w:marRight w:val="0"/>
      <w:marTop w:val="0"/>
      <w:marBottom w:val="0"/>
      <w:divBdr>
        <w:top w:val="none" w:sz="0" w:space="0" w:color="auto"/>
        <w:left w:val="none" w:sz="0" w:space="0" w:color="auto"/>
        <w:bottom w:val="none" w:sz="0" w:space="0" w:color="auto"/>
        <w:right w:val="none" w:sz="0" w:space="0" w:color="auto"/>
      </w:divBdr>
    </w:div>
    <w:div w:id="1162701192">
      <w:bodyDiv w:val="1"/>
      <w:marLeft w:val="0"/>
      <w:marRight w:val="0"/>
      <w:marTop w:val="0"/>
      <w:marBottom w:val="0"/>
      <w:divBdr>
        <w:top w:val="none" w:sz="0" w:space="0" w:color="auto"/>
        <w:left w:val="none" w:sz="0" w:space="0" w:color="auto"/>
        <w:bottom w:val="none" w:sz="0" w:space="0" w:color="auto"/>
        <w:right w:val="none" w:sz="0" w:space="0" w:color="auto"/>
      </w:divBdr>
    </w:div>
    <w:div w:id="1364401552">
      <w:bodyDiv w:val="1"/>
      <w:marLeft w:val="0"/>
      <w:marRight w:val="0"/>
      <w:marTop w:val="0"/>
      <w:marBottom w:val="0"/>
      <w:divBdr>
        <w:top w:val="none" w:sz="0" w:space="0" w:color="auto"/>
        <w:left w:val="none" w:sz="0" w:space="0" w:color="auto"/>
        <w:bottom w:val="none" w:sz="0" w:space="0" w:color="auto"/>
        <w:right w:val="none" w:sz="0" w:space="0" w:color="auto"/>
      </w:divBdr>
    </w:div>
    <w:div w:id="1488134222">
      <w:bodyDiv w:val="1"/>
      <w:marLeft w:val="0"/>
      <w:marRight w:val="0"/>
      <w:marTop w:val="0"/>
      <w:marBottom w:val="0"/>
      <w:divBdr>
        <w:top w:val="none" w:sz="0" w:space="0" w:color="auto"/>
        <w:left w:val="none" w:sz="0" w:space="0" w:color="auto"/>
        <w:bottom w:val="none" w:sz="0" w:space="0" w:color="auto"/>
        <w:right w:val="none" w:sz="0" w:space="0" w:color="auto"/>
      </w:divBdr>
    </w:div>
    <w:div w:id="1510294108">
      <w:bodyDiv w:val="1"/>
      <w:marLeft w:val="0"/>
      <w:marRight w:val="0"/>
      <w:marTop w:val="0"/>
      <w:marBottom w:val="0"/>
      <w:divBdr>
        <w:top w:val="none" w:sz="0" w:space="0" w:color="auto"/>
        <w:left w:val="none" w:sz="0" w:space="0" w:color="auto"/>
        <w:bottom w:val="none" w:sz="0" w:space="0" w:color="auto"/>
        <w:right w:val="none" w:sz="0" w:space="0" w:color="auto"/>
      </w:divBdr>
    </w:div>
    <w:div w:id="1554079382">
      <w:bodyDiv w:val="1"/>
      <w:marLeft w:val="0"/>
      <w:marRight w:val="0"/>
      <w:marTop w:val="0"/>
      <w:marBottom w:val="0"/>
      <w:divBdr>
        <w:top w:val="none" w:sz="0" w:space="0" w:color="auto"/>
        <w:left w:val="none" w:sz="0" w:space="0" w:color="auto"/>
        <w:bottom w:val="none" w:sz="0" w:space="0" w:color="auto"/>
        <w:right w:val="none" w:sz="0" w:space="0" w:color="auto"/>
      </w:divBdr>
    </w:div>
    <w:div w:id="1591892275">
      <w:bodyDiv w:val="1"/>
      <w:marLeft w:val="0"/>
      <w:marRight w:val="0"/>
      <w:marTop w:val="0"/>
      <w:marBottom w:val="0"/>
      <w:divBdr>
        <w:top w:val="none" w:sz="0" w:space="0" w:color="auto"/>
        <w:left w:val="none" w:sz="0" w:space="0" w:color="auto"/>
        <w:bottom w:val="none" w:sz="0" w:space="0" w:color="auto"/>
        <w:right w:val="none" w:sz="0" w:space="0" w:color="auto"/>
      </w:divBdr>
    </w:div>
    <w:div w:id="1613441922">
      <w:bodyDiv w:val="1"/>
      <w:marLeft w:val="0"/>
      <w:marRight w:val="0"/>
      <w:marTop w:val="0"/>
      <w:marBottom w:val="0"/>
      <w:divBdr>
        <w:top w:val="none" w:sz="0" w:space="0" w:color="auto"/>
        <w:left w:val="none" w:sz="0" w:space="0" w:color="auto"/>
        <w:bottom w:val="none" w:sz="0" w:space="0" w:color="auto"/>
        <w:right w:val="none" w:sz="0" w:space="0" w:color="auto"/>
      </w:divBdr>
    </w:div>
    <w:div w:id="1658071439">
      <w:bodyDiv w:val="1"/>
      <w:marLeft w:val="0"/>
      <w:marRight w:val="0"/>
      <w:marTop w:val="0"/>
      <w:marBottom w:val="0"/>
      <w:divBdr>
        <w:top w:val="none" w:sz="0" w:space="0" w:color="auto"/>
        <w:left w:val="none" w:sz="0" w:space="0" w:color="auto"/>
        <w:bottom w:val="none" w:sz="0" w:space="0" w:color="auto"/>
        <w:right w:val="none" w:sz="0" w:space="0" w:color="auto"/>
      </w:divBdr>
    </w:div>
    <w:div w:id="1661888084">
      <w:bodyDiv w:val="1"/>
      <w:marLeft w:val="0"/>
      <w:marRight w:val="0"/>
      <w:marTop w:val="0"/>
      <w:marBottom w:val="0"/>
      <w:divBdr>
        <w:top w:val="none" w:sz="0" w:space="0" w:color="auto"/>
        <w:left w:val="none" w:sz="0" w:space="0" w:color="auto"/>
        <w:bottom w:val="none" w:sz="0" w:space="0" w:color="auto"/>
        <w:right w:val="none" w:sz="0" w:space="0" w:color="auto"/>
      </w:divBdr>
    </w:div>
    <w:div w:id="1682783249">
      <w:bodyDiv w:val="1"/>
      <w:marLeft w:val="0"/>
      <w:marRight w:val="0"/>
      <w:marTop w:val="0"/>
      <w:marBottom w:val="0"/>
      <w:divBdr>
        <w:top w:val="none" w:sz="0" w:space="0" w:color="auto"/>
        <w:left w:val="none" w:sz="0" w:space="0" w:color="auto"/>
        <w:bottom w:val="none" w:sz="0" w:space="0" w:color="auto"/>
        <w:right w:val="none" w:sz="0" w:space="0" w:color="auto"/>
      </w:divBdr>
    </w:div>
    <w:div w:id="1712805411">
      <w:bodyDiv w:val="1"/>
      <w:marLeft w:val="0"/>
      <w:marRight w:val="0"/>
      <w:marTop w:val="0"/>
      <w:marBottom w:val="0"/>
      <w:divBdr>
        <w:top w:val="none" w:sz="0" w:space="0" w:color="auto"/>
        <w:left w:val="none" w:sz="0" w:space="0" w:color="auto"/>
        <w:bottom w:val="none" w:sz="0" w:space="0" w:color="auto"/>
        <w:right w:val="none" w:sz="0" w:space="0" w:color="auto"/>
      </w:divBdr>
    </w:div>
    <w:div w:id="1780371506">
      <w:bodyDiv w:val="1"/>
      <w:marLeft w:val="0"/>
      <w:marRight w:val="0"/>
      <w:marTop w:val="0"/>
      <w:marBottom w:val="0"/>
      <w:divBdr>
        <w:top w:val="none" w:sz="0" w:space="0" w:color="auto"/>
        <w:left w:val="none" w:sz="0" w:space="0" w:color="auto"/>
        <w:bottom w:val="none" w:sz="0" w:space="0" w:color="auto"/>
        <w:right w:val="none" w:sz="0" w:space="0" w:color="auto"/>
      </w:divBdr>
    </w:div>
    <w:div w:id="1817064486">
      <w:bodyDiv w:val="1"/>
      <w:marLeft w:val="0"/>
      <w:marRight w:val="0"/>
      <w:marTop w:val="0"/>
      <w:marBottom w:val="0"/>
      <w:divBdr>
        <w:top w:val="none" w:sz="0" w:space="0" w:color="auto"/>
        <w:left w:val="none" w:sz="0" w:space="0" w:color="auto"/>
        <w:bottom w:val="none" w:sz="0" w:space="0" w:color="auto"/>
        <w:right w:val="none" w:sz="0" w:space="0" w:color="auto"/>
      </w:divBdr>
    </w:div>
    <w:div w:id="1931814238">
      <w:bodyDiv w:val="1"/>
      <w:marLeft w:val="0"/>
      <w:marRight w:val="0"/>
      <w:marTop w:val="0"/>
      <w:marBottom w:val="0"/>
      <w:divBdr>
        <w:top w:val="none" w:sz="0" w:space="0" w:color="auto"/>
        <w:left w:val="none" w:sz="0" w:space="0" w:color="auto"/>
        <w:bottom w:val="none" w:sz="0" w:space="0" w:color="auto"/>
        <w:right w:val="none" w:sz="0" w:space="0" w:color="auto"/>
      </w:divBdr>
    </w:div>
    <w:div w:id="2004694684">
      <w:bodyDiv w:val="1"/>
      <w:marLeft w:val="0"/>
      <w:marRight w:val="0"/>
      <w:marTop w:val="0"/>
      <w:marBottom w:val="0"/>
      <w:divBdr>
        <w:top w:val="none" w:sz="0" w:space="0" w:color="auto"/>
        <w:left w:val="none" w:sz="0" w:space="0" w:color="auto"/>
        <w:bottom w:val="none" w:sz="0" w:space="0" w:color="auto"/>
        <w:right w:val="none" w:sz="0" w:space="0" w:color="auto"/>
      </w:divBdr>
    </w:div>
    <w:div w:id="2046442039">
      <w:bodyDiv w:val="1"/>
      <w:marLeft w:val="0"/>
      <w:marRight w:val="0"/>
      <w:marTop w:val="0"/>
      <w:marBottom w:val="0"/>
      <w:divBdr>
        <w:top w:val="none" w:sz="0" w:space="0" w:color="auto"/>
        <w:left w:val="none" w:sz="0" w:space="0" w:color="auto"/>
        <w:bottom w:val="none" w:sz="0" w:space="0" w:color="auto"/>
        <w:right w:val="none" w:sz="0" w:space="0" w:color="auto"/>
      </w:divBdr>
    </w:div>
    <w:div w:id="2106539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4722374F1A21489319064631E0C228" ma:contentTypeVersion="12" ma:contentTypeDescription="Create a new document." ma:contentTypeScope="" ma:versionID="bb6d42dcd78e0244a900b111f3bf6cbc">
  <xsd:schema xmlns:xsd="http://www.w3.org/2001/XMLSchema" xmlns:xs="http://www.w3.org/2001/XMLSchema" xmlns:p="http://schemas.microsoft.com/office/2006/metadata/properties" xmlns:ns3="77581051-47bf-4b91-91a5-8f395b47da70" xmlns:ns4="8a221bf3-c2b3-427f-84a1-d97b0e13abde" targetNamespace="http://schemas.microsoft.com/office/2006/metadata/properties" ma:root="true" ma:fieldsID="dc8d743c931c111065e481391a6ece3f" ns3:_="" ns4:_="">
    <xsd:import namespace="77581051-47bf-4b91-91a5-8f395b47da70"/>
    <xsd:import namespace="8a221bf3-c2b3-427f-84a1-d97b0e13abd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581051-47bf-4b91-91a5-8f395b47da7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a221bf3-c2b3-427f-84a1-d97b0e13abd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B7A8A95-49D4-4126-9BC0-17BEDBF065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B5D911-9661-4EA2-AA49-328BD4515CEC}">
  <ds:schemaRefs>
    <ds:schemaRef ds:uri="http://schemas.openxmlformats.org/officeDocument/2006/bibliography"/>
  </ds:schemaRefs>
</ds:datastoreItem>
</file>

<file path=customXml/itemProps3.xml><?xml version="1.0" encoding="utf-8"?>
<ds:datastoreItem xmlns:ds="http://schemas.openxmlformats.org/officeDocument/2006/customXml" ds:itemID="{029DBC47-22D4-4A85-9981-1BB51B9C46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581051-47bf-4b91-91a5-8f395b47da70"/>
    <ds:schemaRef ds:uri="8a221bf3-c2b3-427f-84a1-d97b0e13a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74067-0A48-403D-B7AE-8D819F33DF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9</Pages>
  <Words>2573</Words>
  <Characters>14669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ACCA</Company>
  <LinksUpToDate>false</LinksUpToDate>
  <CharactersWithSpaces>17208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Radha Garg</dc:creator>
  <cp:lastModifiedBy>Yogesh Dhanak</cp:lastModifiedBy>
  <cp:revision>25</cp:revision>
  <cp:lastPrinted>2020-03-11T17:12:00Z</cp:lastPrinted>
  <dcterms:created xsi:type="dcterms:W3CDTF">2022-03-23T14:31:00Z</dcterms:created>
  <dcterms:modified xsi:type="dcterms:W3CDTF">2022-03-23T17:42:00Z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0x010100B34722374F1A21489319064631E0C228</vt:lpwstr>
  </property>
</Properties>
</file>