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2AA2" w14:textId="77777777" w:rsidR="005439B6" w:rsidRPr="00242A37" w:rsidRDefault="005439B6" w:rsidP="00FA576A">
      <w:pPr>
        <w:rPr>
          <w:rFonts w:ascii="Arial" w:hAnsi="Arial" w:cs="Arial"/>
          <w:sz w:val="36"/>
          <w:szCs w:val="36"/>
        </w:rPr>
      </w:pPr>
    </w:p>
    <w:p w14:paraId="5F3AE119" w14:textId="3D5BAB45" w:rsidR="00DA1DD0" w:rsidRPr="00242A37" w:rsidRDefault="00DA1DD0" w:rsidP="00FA576A">
      <w:pPr>
        <w:rPr>
          <w:rFonts w:ascii="Arial" w:hAnsi="Arial" w:cs="Arial"/>
          <w:iCs/>
          <w:sz w:val="36"/>
          <w:szCs w:val="36"/>
        </w:rPr>
      </w:pPr>
      <w:r w:rsidRPr="00242A37">
        <w:rPr>
          <w:rFonts w:ascii="Arial" w:hAnsi="Arial" w:cs="Arial"/>
          <w:sz w:val="36"/>
          <w:szCs w:val="36"/>
        </w:rPr>
        <w:t xml:space="preserve">A </w:t>
      </w:r>
      <w:r w:rsidR="00214730" w:rsidRPr="00242A37">
        <w:rPr>
          <w:rFonts w:ascii="Arial" w:hAnsi="Arial" w:cs="Arial"/>
          <w:sz w:val="36"/>
          <w:szCs w:val="36"/>
        </w:rPr>
        <w:t>s</w:t>
      </w:r>
      <w:r w:rsidR="000D620D" w:rsidRPr="00242A37">
        <w:rPr>
          <w:rFonts w:ascii="Arial" w:hAnsi="Arial" w:cs="Arial"/>
          <w:sz w:val="36"/>
          <w:szCs w:val="36"/>
        </w:rPr>
        <w:t xml:space="preserve">imple </w:t>
      </w:r>
      <w:r w:rsidR="00214730" w:rsidRPr="00242A37">
        <w:rPr>
          <w:rFonts w:ascii="Arial" w:hAnsi="Arial" w:cs="Arial"/>
          <w:sz w:val="36"/>
          <w:szCs w:val="36"/>
        </w:rPr>
        <w:t>g</w:t>
      </w:r>
      <w:r w:rsidRPr="00242A37">
        <w:rPr>
          <w:rFonts w:ascii="Arial" w:hAnsi="Arial" w:cs="Arial"/>
          <w:sz w:val="36"/>
          <w:szCs w:val="36"/>
        </w:rPr>
        <w:t>uide to</w:t>
      </w:r>
      <w:r w:rsidR="00A75D98" w:rsidRPr="00242A37">
        <w:rPr>
          <w:rFonts w:ascii="Arial" w:hAnsi="Arial" w:cs="Arial"/>
          <w:sz w:val="36"/>
          <w:szCs w:val="36"/>
        </w:rPr>
        <w:t xml:space="preserve"> </w:t>
      </w:r>
      <w:r w:rsidR="00020C9A" w:rsidRPr="00242A37">
        <w:rPr>
          <w:rFonts w:ascii="Arial" w:hAnsi="Arial" w:cs="Arial"/>
          <w:sz w:val="36"/>
          <w:szCs w:val="36"/>
        </w:rPr>
        <w:t xml:space="preserve">the </w:t>
      </w:r>
      <w:r w:rsidR="00DC63C1" w:rsidRPr="00242A37">
        <w:rPr>
          <w:rFonts w:ascii="Arial" w:hAnsi="Arial" w:cs="Arial"/>
          <w:sz w:val="36"/>
          <w:szCs w:val="36"/>
        </w:rPr>
        <w:t xml:space="preserve">Autumn Statement </w:t>
      </w:r>
      <w:r w:rsidR="00BA1987" w:rsidRPr="00242A37">
        <w:rPr>
          <w:rFonts w:ascii="Arial" w:hAnsi="Arial" w:cs="Arial"/>
          <w:iCs/>
          <w:sz w:val="36"/>
          <w:szCs w:val="36"/>
        </w:rPr>
        <w:t>2022</w:t>
      </w:r>
    </w:p>
    <w:p w14:paraId="70DA7803" w14:textId="77777777" w:rsidR="00DA1DD0" w:rsidRPr="00242A37" w:rsidRDefault="00DA1DD0" w:rsidP="00FA576A">
      <w:pPr>
        <w:pStyle w:val="Heading3"/>
        <w:spacing w:before="0" w:after="0"/>
        <w:rPr>
          <w:bCs w:val="0"/>
          <w:sz w:val="20"/>
        </w:rPr>
      </w:pPr>
    </w:p>
    <w:p w14:paraId="5409AAFC" w14:textId="77777777" w:rsidR="00CA3F40" w:rsidRPr="00242A37" w:rsidRDefault="0065704D" w:rsidP="00696368">
      <w:pPr>
        <w:pStyle w:val="xmsonormal"/>
        <w:rPr>
          <w:rFonts w:ascii="Arial" w:hAnsi="Arial" w:cs="Arial"/>
          <w:b/>
          <w:bCs/>
        </w:rPr>
      </w:pPr>
      <w:r w:rsidRPr="00242A37">
        <w:rPr>
          <w:rFonts w:ascii="Arial" w:hAnsi="Arial" w:cs="Arial"/>
          <w:b/>
          <w:bCs/>
        </w:rPr>
        <w:t xml:space="preserve">The </w:t>
      </w:r>
      <w:r w:rsidR="009D0D08" w:rsidRPr="00242A37">
        <w:rPr>
          <w:rFonts w:ascii="Arial" w:hAnsi="Arial" w:cs="Arial"/>
          <w:b/>
          <w:bCs/>
        </w:rPr>
        <w:t xml:space="preserve">headline </w:t>
      </w:r>
      <w:r w:rsidRPr="00242A37">
        <w:rPr>
          <w:rFonts w:ascii="Arial" w:hAnsi="Arial" w:cs="Arial"/>
          <w:b/>
          <w:bCs/>
        </w:rPr>
        <w:t>message from the Chancellor</w:t>
      </w:r>
    </w:p>
    <w:p w14:paraId="5F5B5024" w14:textId="77777777" w:rsidR="00CA3F40" w:rsidRPr="00242A37" w:rsidRDefault="00CA3F40" w:rsidP="00CA3F40">
      <w:pPr>
        <w:rPr>
          <w:rFonts w:ascii="Arial" w:hAnsi="Arial" w:cs="Arial"/>
          <w:i/>
          <w:iCs/>
          <w:sz w:val="22"/>
          <w:szCs w:val="22"/>
        </w:rPr>
      </w:pPr>
    </w:p>
    <w:p w14:paraId="4DF10554" w14:textId="77777777" w:rsidR="009369B1" w:rsidRDefault="009369B1" w:rsidP="009369B1">
      <w:pPr>
        <w:rPr>
          <w:rFonts w:ascii="Arial" w:hAnsi="Arial" w:cs="Arial"/>
          <w:sz w:val="22"/>
          <w:szCs w:val="22"/>
        </w:rPr>
      </w:pPr>
      <w:r w:rsidRPr="009369B1">
        <w:rPr>
          <w:rFonts w:ascii="Arial" w:hAnsi="Arial" w:cs="Arial"/>
          <w:sz w:val="22"/>
          <w:szCs w:val="22"/>
        </w:rPr>
        <w:t xml:space="preserve">The Chancellor highlighted that “In the face of unprecedented global headwinds, families, pensioners, businesses, teachers, nurses and many others are worried about the future.” He highlighted he aims to tackle the cost-of-living crisis and rebuild our economy with his headline priorities of stability, growth, and public services. </w:t>
      </w:r>
    </w:p>
    <w:p w14:paraId="1E4F642B" w14:textId="77777777" w:rsidR="00505C17" w:rsidRPr="009369B1" w:rsidRDefault="00505C17" w:rsidP="009369B1">
      <w:pPr>
        <w:rPr>
          <w:rFonts w:ascii="Arial" w:hAnsi="Arial" w:cs="Arial"/>
          <w:sz w:val="22"/>
          <w:szCs w:val="22"/>
        </w:rPr>
      </w:pPr>
    </w:p>
    <w:p w14:paraId="32664687" w14:textId="77777777" w:rsidR="009369B1" w:rsidRPr="009369B1" w:rsidRDefault="009369B1" w:rsidP="009369B1">
      <w:pPr>
        <w:rPr>
          <w:rFonts w:ascii="Arial" w:hAnsi="Arial" w:cs="Arial"/>
          <w:sz w:val="22"/>
          <w:szCs w:val="22"/>
        </w:rPr>
      </w:pPr>
      <w:r w:rsidRPr="009369B1">
        <w:rPr>
          <w:rFonts w:ascii="Arial" w:hAnsi="Arial" w:cs="Arial"/>
          <w:sz w:val="22"/>
          <w:szCs w:val="22"/>
        </w:rPr>
        <w:t xml:space="preserve">He concluded his speech stating that “the British people are tough, </w:t>
      </w:r>
      <w:proofErr w:type="gramStart"/>
      <w:r w:rsidRPr="009369B1">
        <w:rPr>
          <w:rFonts w:ascii="Arial" w:hAnsi="Arial" w:cs="Arial"/>
          <w:sz w:val="22"/>
          <w:szCs w:val="22"/>
        </w:rPr>
        <w:t>inventive</w:t>
      </w:r>
      <w:proofErr w:type="gramEnd"/>
      <w:r w:rsidRPr="009369B1">
        <w:rPr>
          <w:rFonts w:ascii="Arial" w:hAnsi="Arial" w:cs="Arial"/>
          <w:sz w:val="22"/>
          <w:szCs w:val="22"/>
        </w:rPr>
        <w:t xml:space="preserve"> and resourceful. </w:t>
      </w:r>
    </w:p>
    <w:p w14:paraId="3ACE385E" w14:textId="66C3AFCA" w:rsidR="009369B1" w:rsidRPr="009369B1" w:rsidRDefault="009369B1" w:rsidP="00505C17">
      <w:pPr>
        <w:rPr>
          <w:rFonts w:ascii="Arial" w:hAnsi="Arial" w:cs="Arial"/>
          <w:sz w:val="22"/>
          <w:szCs w:val="22"/>
        </w:rPr>
      </w:pPr>
      <w:r w:rsidRPr="009369B1">
        <w:rPr>
          <w:rFonts w:ascii="Arial" w:hAnsi="Arial" w:cs="Arial"/>
          <w:sz w:val="22"/>
          <w:szCs w:val="22"/>
        </w:rPr>
        <w:t>We have risen to bigger challenges before……It is a balanced plan for stability, a plan for growth and a plan for public services.</w:t>
      </w:r>
      <w:r w:rsidR="00505C17">
        <w:rPr>
          <w:rFonts w:ascii="Arial" w:hAnsi="Arial" w:cs="Arial"/>
          <w:sz w:val="22"/>
          <w:szCs w:val="22"/>
        </w:rPr>
        <w:t xml:space="preserve"> I</w:t>
      </w:r>
      <w:r w:rsidRPr="009369B1">
        <w:rPr>
          <w:rFonts w:ascii="Arial" w:hAnsi="Arial" w:cs="Arial"/>
          <w:sz w:val="22"/>
          <w:szCs w:val="22"/>
        </w:rPr>
        <w:t>t shows that you don’t need to choose either a strong economy or good public services…”</w:t>
      </w:r>
    </w:p>
    <w:p w14:paraId="13375258" w14:textId="6AB576FA" w:rsidR="004261C3" w:rsidRPr="00242A37" w:rsidRDefault="004261C3" w:rsidP="004261C3">
      <w:pPr>
        <w:pStyle w:val="Heading1"/>
        <w:shd w:val="clear" w:color="auto" w:fill="FFFFFF"/>
        <w:rPr>
          <w:rFonts w:ascii="Arial" w:hAnsi="Arial" w:cs="Arial"/>
          <w:b w:val="0"/>
          <w:bCs w:val="0"/>
          <w:color w:val="0B0C0C"/>
          <w:kern w:val="36"/>
          <w:sz w:val="22"/>
          <w:szCs w:val="22"/>
          <w:lang w:eastAsia="en-GB"/>
        </w:rPr>
      </w:pPr>
    </w:p>
    <w:p w14:paraId="481A9C4D" w14:textId="77777777" w:rsidR="00CA3F40" w:rsidRPr="00242A37" w:rsidRDefault="00CA3F40" w:rsidP="0065704D">
      <w:pPr>
        <w:rPr>
          <w:rFonts w:ascii="Arial" w:hAnsi="Arial" w:cs="Arial"/>
          <w:sz w:val="22"/>
          <w:szCs w:val="22"/>
        </w:rPr>
      </w:pPr>
    </w:p>
    <w:p w14:paraId="3A233535" w14:textId="310A5281" w:rsidR="00CA3F40" w:rsidRPr="00242A37" w:rsidRDefault="00CA3F40" w:rsidP="0065704D">
      <w:pPr>
        <w:rPr>
          <w:rFonts w:ascii="Arial" w:hAnsi="Arial" w:cs="Arial"/>
          <w:sz w:val="22"/>
          <w:szCs w:val="22"/>
        </w:rPr>
      </w:pPr>
    </w:p>
    <w:p w14:paraId="740BEF42" w14:textId="08E6B35C" w:rsidR="00F7510D" w:rsidRPr="00242A37" w:rsidRDefault="00F7510D" w:rsidP="0065704D">
      <w:pPr>
        <w:rPr>
          <w:rFonts w:ascii="Arial" w:hAnsi="Arial" w:cs="Arial"/>
          <w:sz w:val="22"/>
          <w:szCs w:val="22"/>
        </w:rPr>
      </w:pPr>
    </w:p>
    <w:p w14:paraId="157B97FB" w14:textId="41823D91" w:rsidR="00F7510D" w:rsidRPr="00242A37" w:rsidRDefault="00F7510D" w:rsidP="0065704D">
      <w:pPr>
        <w:rPr>
          <w:rFonts w:ascii="Arial" w:hAnsi="Arial" w:cs="Arial"/>
          <w:sz w:val="22"/>
          <w:szCs w:val="22"/>
        </w:rPr>
      </w:pPr>
    </w:p>
    <w:p w14:paraId="3C80C528" w14:textId="3318756F" w:rsidR="00F7510D" w:rsidRPr="00242A37" w:rsidRDefault="00F7510D" w:rsidP="0065704D">
      <w:pPr>
        <w:rPr>
          <w:rFonts w:ascii="Arial" w:hAnsi="Arial" w:cs="Arial"/>
          <w:sz w:val="22"/>
          <w:szCs w:val="22"/>
        </w:rPr>
      </w:pPr>
    </w:p>
    <w:p w14:paraId="4C5DFE5D" w14:textId="4CF403DC" w:rsidR="00F7510D" w:rsidRPr="00242A37" w:rsidRDefault="00F7510D" w:rsidP="0065704D">
      <w:pPr>
        <w:rPr>
          <w:rFonts w:ascii="Arial" w:hAnsi="Arial" w:cs="Arial"/>
          <w:sz w:val="22"/>
          <w:szCs w:val="22"/>
        </w:rPr>
      </w:pPr>
    </w:p>
    <w:p w14:paraId="4844F31A" w14:textId="182F00AB" w:rsidR="00F7510D" w:rsidRPr="00242A37" w:rsidRDefault="00F7510D" w:rsidP="0065704D">
      <w:pPr>
        <w:rPr>
          <w:rFonts w:ascii="Arial" w:hAnsi="Arial" w:cs="Arial"/>
          <w:sz w:val="22"/>
          <w:szCs w:val="22"/>
        </w:rPr>
      </w:pPr>
    </w:p>
    <w:p w14:paraId="5E3959E4" w14:textId="593A5B64" w:rsidR="00F7510D" w:rsidRPr="00242A37" w:rsidRDefault="00F7510D" w:rsidP="0065704D">
      <w:pPr>
        <w:rPr>
          <w:rFonts w:ascii="Arial" w:hAnsi="Arial" w:cs="Arial"/>
          <w:sz w:val="22"/>
          <w:szCs w:val="22"/>
        </w:rPr>
      </w:pPr>
    </w:p>
    <w:p w14:paraId="2ED0E3D2" w14:textId="1EC0B6A0" w:rsidR="00F7510D" w:rsidRPr="00242A37" w:rsidRDefault="00F7510D" w:rsidP="0065704D">
      <w:pPr>
        <w:rPr>
          <w:rFonts w:ascii="Arial" w:hAnsi="Arial" w:cs="Arial"/>
          <w:sz w:val="22"/>
          <w:szCs w:val="22"/>
        </w:rPr>
      </w:pPr>
    </w:p>
    <w:p w14:paraId="622AC89A" w14:textId="1E5EA9CB" w:rsidR="00F7510D" w:rsidRPr="00242A37" w:rsidRDefault="00F7510D" w:rsidP="0065704D">
      <w:pPr>
        <w:rPr>
          <w:rFonts w:ascii="Arial" w:hAnsi="Arial" w:cs="Arial"/>
          <w:sz w:val="22"/>
          <w:szCs w:val="22"/>
        </w:rPr>
      </w:pPr>
    </w:p>
    <w:p w14:paraId="30A48F2A" w14:textId="3414FD80" w:rsidR="00F7510D" w:rsidRPr="00242A37" w:rsidRDefault="00F7510D" w:rsidP="0065704D">
      <w:pPr>
        <w:rPr>
          <w:rFonts w:ascii="Arial" w:hAnsi="Arial" w:cs="Arial"/>
          <w:sz w:val="22"/>
          <w:szCs w:val="22"/>
        </w:rPr>
      </w:pPr>
    </w:p>
    <w:p w14:paraId="25BB681A" w14:textId="77777777" w:rsidR="00DC63C1" w:rsidRPr="00242A37" w:rsidRDefault="00DC63C1" w:rsidP="0065704D">
      <w:pPr>
        <w:rPr>
          <w:rFonts w:ascii="Arial" w:hAnsi="Arial" w:cs="Arial"/>
          <w:sz w:val="22"/>
          <w:szCs w:val="22"/>
        </w:rPr>
      </w:pPr>
    </w:p>
    <w:p w14:paraId="7E23A7D4" w14:textId="77777777" w:rsidR="00DC63C1" w:rsidRPr="00242A37" w:rsidRDefault="00DC63C1" w:rsidP="0065704D">
      <w:pPr>
        <w:rPr>
          <w:rFonts w:ascii="Arial" w:hAnsi="Arial" w:cs="Arial"/>
          <w:sz w:val="22"/>
          <w:szCs w:val="22"/>
        </w:rPr>
      </w:pPr>
    </w:p>
    <w:p w14:paraId="158C5E55" w14:textId="77777777" w:rsidR="00DC63C1" w:rsidRPr="00242A37" w:rsidRDefault="00DC63C1" w:rsidP="0065704D">
      <w:pPr>
        <w:rPr>
          <w:rFonts w:ascii="Arial" w:hAnsi="Arial" w:cs="Arial"/>
          <w:sz w:val="22"/>
          <w:szCs w:val="22"/>
        </w:rPr>
      </w:pPr>
    </w:p>
    <w:p w14:paraId="6CBE62C0" w14:textId="77777777" w:rsidR="00DC63C1" w:rsidRPr="00242A37" w:rsidRDefault="00DC63C1" w:rsidP="0065704D">
      <w:pPr>
        <w:rPr>
          <w:rFonts w:ascii="Arial" w:hAnsi="Arial" w:cs="Arial"/>
          <w:sz w:val="22"/>
          <w:szCs w:val="22"/>
        </w:rPr>
      </w:pPr>
    </w:p>
    <w:p w14:paraId="35777E9B" w14:textId="77777777" w:rsidR="00DC63C1" w:rsidRPr="00242A37" w:rsidRDefault="00DC63C1" w:rsidP="0065704D">
      <w:pPr>
        <w:rPr>
          <w:rFonts w:ascii="Arial" w:hAnsi="Arial" w:cs="Arial"/>
          <w:sz w:val="22"/>
          <w:szCs w:val="22"/>
        </w:rPr>
      </w:pPr>
    </w:p>
    <w:p w14:paraId="048DF18B" w14:textId="77777777" w:rsidR="00DC63C1" w:rsidRPr="00242A37" w:rsidRDefault="00DC63C1" w:rsidP="0065704D">
      <w:pPr>
        <w:rPr>
          <w:rFonts w:ascii="Arial" w:hAnsi="Arial" w:cs="Arial"/>
          <w:sz w:val="22"/>
          <w:szCs w:val="22"/>
        </w:rPr>
      </w:pPr>
    </w:p>
    <w:p w14:paraId="1F813258" w14:textId="77777777" w:rsidR="00DC63C1" w:rsidRPr="00242A37" w:rsidRDefault="00DC63C1" w:rsidP="0065704D">
      <w:pPr>
        <w:rPr>
          <w:rFonts w:ascii="Arial" w:hAnsi="Arial" w:cs="Arial"/>
          <w:sz w:val="22"/>
          <w:szCs w:val="22"/>
        </w:rPr>
      </w:pPr>
    </w:p>
    <w:p w14:paraId="3E8E6AE5" w14:textId="77777777" w:rsidR="00B63D6B" w:rsidRDefault="00B63D6B" w:rsidP="0065704D">
      <w:pPr>
        <w:rPr>
          <w:rFonts w:ascii="Arial" w:hAnsi="Arial" w:cs="Arial"/>
          <w:sz w:val="22"/>
          <w:szCs w:val="22"/>
        </w:rPr>
      </w:pPr>
    </w:p>
    <w:p w14:paraId="542457E3" w14:textId="77777777" w:rsidR="00B63D6B" w:rsidRDefault="00B63D6B" w:rsidP="0065704D">
      <w:pPr>
        <w:rPr>
          <w:rFonts w:ascii="Arial" w:hAnsi="Arial" w:cs="Arial"/>
          <w:sz w:val="22"/>
          <w:szCs w:val="22"/>
        </w:rPr>
      </w:pPr>
    </w:p>
    <w:p w14:paraId="3F5D656B" w14:textId="77777777" w:rsidR="00B63D6B" w:rsidRDefault="00B63D6B" w:rsidP="0065704D">
      <w:pPr>
        <w:rPr>
          <w:rFonts w:ascii="Arial" w:hAnsi="Arial" w:cs="Arial"/>
          <w:sz w:val="22"/>
          <w:szCs w:val="22"/>
        </w:rPr>
      </w:pPr>
    </w:p>
    <w:p w14:paraId="4F4525B3" w14:textId="77777777" w:rsidR="00B63D6B" w:rsidRDefault="00B63D6B" w:rsidP="0065704D">
      <w:pPr>
        <w:rPr>
          <w:rFonts w:ascii="Arial" w:hAnsi="Arial" w:cs="Arial"/>
          <w:sz w:val="22"/>
          <w:szCs w:val="22"/>
        </w:rPr>
      </w:pPr>
    </w:p>
    <w:p w14:paraId="4195157E" w14:textId="77777777" w:rsidR="00B63D6B" w:rsidRDefault="00B63D6B" w:rsidP="0065704D">
      <w:pPr>
        <w:rPr>
          <w:rFonts w:ascii="Arial" w:hAnsi="Arial" w:cs="Arial"/>
          <w:sz w:val="22"/>
          <w:szCs w:val="22"/>
        </w:rPr>
      </w:pPr>
    </w:p>
    <w:p w14:paraId="6F9FA8AE" w14:textId="2AC42390" w:rsidR="0065704D" w:rsidRPr="00242A37" w:rsidRDefault="009E564F" w:rsidP="0065704D">
      <w:pPr>
        <w:rPr>
          <w:rFonts w:ascii="Arial" w:hAnsi="Arial" w:cs="Arial"/>
          <w:sz w:val="22"/>
          <w:szCs w:val="22"/>
        </w:rPr>
      </w:pPr>
      <w:r>
        <w:rPr>
          <w:rFonts w:ascii="Arial" w:hAnsi="Arial" w:cs="Arial"/>
          <w:sz w:val="22"/>
          <w:szCs w:val="22"/>
        </w:rPr>
        <w:lastRenderedPageBreak/>
        <w:t>Key</w:t>
      </w:r>
      <w:r w:rsidR="00CA3F40" w:rsidRPr="00242A37">
        <w:rPr>
          <w:rFonts w:ascii="Arial" w:hAnsi="Arial" w:cs="Arial"/>
          <w:sz w:val="22"/>
          <w:szCs w:val="22"/>
        </w:rPr>
        <w:t xml:space="preserve"> measures announced by the Chancellor </w:t>
      </w:r>
      <w:r>
        <w:rPr>
          <w:rFonts w:ascii="Arial" w:hAnsi="Arial" w:cs="Arial"/>
          <w:sz w:val="22"/>
          <w:szCs w:val="22"/>
        </w:rPr>
        <w:t>are summarised within this Guide.</w:t>
      </w:r>
    </w:p>
    <w:p w14:paraId="5B171C03" w14:textId="77777777" w:rsidR="003509D0" w:rsidRPr="00242A37" w:rsidRDefault="003509D0" w:rsidP="00845527">
      <w:pPr>
        <w:rPr>
          <w:rFonts w:ascii="Arial" w:hAnsi="Arial" w:cs="Arial"/>
          <w:sz w:val="22"/>
          <w:szCs w:val="22"/>
        </w:rPr>
      </w:pPr>
    </w:p>
    <w:tbl>
      <w:tblPr>
        <w:tblW w:w="10155" w:type="dxa"/>
        <w:tblLayout w:type="fixed"/>
        <w:tblLook w:val="04A0" w:firstRow="1" w:lastRow="0" w:firstColumn="1" w:lastColumn="0" w:noHBand="0" w:noVBand="1"/>
      </w:tblPr>
      <w:tblGrid>
        <w:gridCol w:w="6094"/>
        <w:gridCol w:w="2030"/>
        <w:gridCol w:w="2031"/>
      </w:tblGrid>
      <w:tr w:rsidR="00EB4DCF" w14:paraId="0BAD56F2" w14:textId="77777777" w:rsidTr="001C2807">
        <w:trPr>
          <w:trHeight w:val="330"/>
        </w:trPr>
        <w:tc>
          <w:tcPr>
            <w:tcW w:w="6094" w:type="dxa"/>
            <w:tcBorders>
              <w:top w:val="nil"/>
              <w:left w:val="nil"/>
              <w:bottom w:val="single" w:sz="4" w:space="0" w:color="auto"/>
              <w:right w:val="nil"/>
            </w:tcBorders>
            <w:noWrap/>
            <w:hideMark/>
          </w:tcPr>
          <w:p w14:paraId="44E4F9BD" w14:textId="48565563" w:rsidR="00EB4DCF" w:rsidRDefault="003509D0" w:rsidP="001955DD">
            <w:pPr>
              <w:spacing w:after="200" w:line="276" w:lineRule="auto"/>
              <w:rPr>
                <w:rFonts w:ascii="Arial" w:eastAsia="Calibri" w:hAnsi="Arial" w:cs="Arial"/>
                <w:sz w:val="20"/>
                <w:szCs w:val="20"/>
              </w:rPr>
            </w:pPr>
            <w:r w:rsidRPr="00242A37">
              <w:rPr>
                <w:rFonts w:ascii="Arial" w:hAnsi="Arial" w:cs="Arial"/>
                <w:b/>
                <w:sz w:val="22"/>
                <w:szCs w:val="22"/>
              </w:rPr>
              <w:t>Rates and allowances</w:t>
            </w:r>
            <w:r w:rsidR="00826DC4" w:rsidRPr="00242A37">
              <w:rPr>
                <w:rFonts w:ascii="Arial" w:hAnsi="Arial" w:cs="Arial"/>
                <w:b/>
                <w:color w:val="FF0000"/>
                <w:sz w:val="22"/>
                <w:szCs w:val="22"/>
              </w:rPr>
              <w:br/>
            </w:r>
            <w:r w:rsidR="00EB4DCF">
              <w:rPr>
                <w:rFonts w:ascii="Arial" w:eastAsia="Calibri" w:hAnsi="Arial" w:cs="Arial"/>
                <w:sz w:val="20"/>
                <w:szCs w:val="20"/>
              </w:rPr>
              <w:t xml:space="preserve">                   </w:t>
            </w:r>
          </w:p>
        </w:tc>
        <w:tc>
          <w:tcPr>
            <w:tcW w:w="2030" w:type="dxa"/>
            <w:tcBorders>
              <w:top w:val="nil"/>
              <w:left w:val="nil"/>
              <w:bottom w:val="single" w:sz="4" w:space="0" w:color="auto"/>
              <w:right w:val="nil"/>
            </w:tcBorders>
            <w:noWrap/>
            <w:hideMark/>
          </w:tcPr>
          <w:p w14:paraId="1F4D8F4B" w14:textId="77777777" w:rsidR="00EB4DCF" w:rsidRDefault="00EB4DCF" w:rsidP="001955DD">
            <w:pPr>
              <w:rPr>
                <w:rFonts w:ascii="Arial" w:eastAsia="Calibri" w:hAnsi="Arial" w:cs="Arial"/>
                <w:sz w:val="20"/>
                <w:szCs w:val="20"/>
              </w:rPr>
            </w:pPr>
          </w:p>
        </w:tc>
        <w:tc>
          <w:tcPr>
            <w:tcW w:w="2031" w:type="dxa"/>
            <w:tcBorders>
              <w:top w:val="nil"/>
              <w:left w:val="nil"/>
              <w:bottom w:val="single" w:sz="4" w:space="0" w:color="auto"/>
              <w:right w:val="nil"/>
            </w:tcBorders>
            <w:noWrap/>
            <w:hideMark/>
          </w:tcPr>
          <w:p w14:paraId="7D7EFC98" w14:textId="77777777" w:rsidR="00EB4DCF" w:rsidRDefault="00EB4DCF" w:rsidP="001955DD">
            <w:pPr>
              <w:rPr>
                <w:sz w:val="20"/>
                <w:szCs w:val="20"/>
                <w:lang w:eastAsia="en-GB"/>
              </w:rPr>
            </w:pPr>
          </w:p>
        </w:tc>
      </w:tr>
      <w:tr w:rsidR="00EB4DCF" w14:paraId="6706089E" w14:textId="77777777" w:rsidTr="001C2807">
        <w:trPr>
          <w:trHeight w:val="330"/>
        </w:trPr>
        <w:tc>
          <w:tcPr>
            <w:tcW w:w="6094" w:type="dxa"/>
            <w:tcBorders>
              <w:top w:val="single" w:sz="4" w:space="0" w:color="auto"/>
              <w:left w:val="single" w:sz="4" w:space="0" w:color="auto"/>
              <w:bottom w:val="single" w:sz="4" w:space="0" w:color="auto"/>
              <w:right w:val="single" w:sz="4" w:space="0" w:color="auto"/>
            </w:tcBorders>
            <w:shd w:val="clear" w:color="auto" w:fill="C7C7C7"/>
            <w:noWrap/>
            <w:hideMark/>
          </w:tcPr>
          <w:p w14:paraId="13ED41FB" w14:textId="77777777" w:rsidR="00EB4DCF" w:rsidRDefault="00EB4DCF" w:rsidP="001955DD">
            <w:pPr>
              <w:spacing w:after="200" w:line="276" w:lineRule="auto"/>
              <w:rPr>
                <w:rFonts w:ascii="Arial" w:eastAsia="Calibri" w:hAnsi="Arial" w:cs="Arial"/>
                <w:sz w:val="20"/>
                <w:szCs w:val="20"/>
              </w:rPr>
            </w:pPr>
            <w:r>
              <w:rPr>
                <w:rFonts w:ascii="Arial" w:eastAsia="Calibri" w:hAnsi="Arial" w:cs="Arial"/>
                <w:sz w:val="20"/>
                <w:szCs w:val="20"/>
              </w:rPr>
              <w:t> </w:t>
            </w:r>
            <w:r>
              <w:rPr>
                <w:rFonts w:ascii="Arial" w:eastAsia="Calibri" w:hAnsi="Arial" w:cs="Arial"/>
                <w:b/>
                <w:bCs/>
                <w:sz w:val="20"/>
                <w:szCs w:val="20"/>
              </w:rPr>
              <w:t xml:space="preserve">Income tax rates: England, Wales &amp; Northern Ireland </w:t>
            </w:r>
            <w:r>
              <w:rPr>
                <w:rFonts w:ascii="Arial" w:eastAsia="Calibri" w:hAnsi="Arial" w:cs="Arial"/>
                <w:b/>
                <w:bCs/>
                <w:sz w:val="20"/>
                <w:szCs w:val="20"/>
              </w:rPr>
              <w:br/>
              <w:t>(non-dividend income)</w:t>
            </w:r>
          </w:p>
        </w:tc>
        <w:tc>
          <w:tcPr>
            <w:tcW w:w="2030" w:type="dxa"/>
            <w:tcBorders>
              <w:top w:val="single" w:sz="4" w:space="0" w:color="auto"/>
              <w:left w:val="single" w:sz="4" w:space="0" w:color="auto"/>
              <w:bottom w:val="single" w:sz="4" w:space="0" w:color="auto"/>
              <w:right w:val="single" w:sz="4" w:space="0" w:color="auto"/>
            </w:tcBorders>
            <w:shd w:val="clear" w:color="auto" w:fill="C7C7C7"/>
            <w:noWrap/>
            <w:hideMark/>
          </w:tcPr>
          <w:p w14:paraId="1008F947" w14:textId="77777777" w:rsidR="00EB4DCF" w:rsidRDefault="00EB4DCF" w:rsidP="001955DD">
            <w:pPr>
              <w:spacing w:after="200" w:line="276" w:lineRule="auto"/>
              <w:jc w:val="right"/>
              <w:rPr>
                <w:rFonts w:ascii="Arial" w:eastAsia="Calibri" w:hAnsi="Arial" w:cs="Arial"/>
                <w:b/>
                <w:bCs/>
                <w:sz w:val="20"/>
                <w:szCs w:val="20"/>
              </w:rPr>
            </w:pPr>
            <w:r>
              <w:rPr>
                <w:rFonts w:ascii="Arial" w:eastAsia="Calibri" w:hAnsi="Arial" w:cs="Arial"/>
                <w:b/>
                <w:bCs/>
                <w:sz w:val="20"/>
                <w:szCs w:val="20"/>
              </w:rPr>
              <w:t>2023/24</w:t>
            </w:r>
          </w:p>
        </w:tc>
        <w:tc>
          <w:tcPr>
            <w:tcW w:w="2031" w:type="dxa"/>
            <w:tcBorders>
              <w:top w:val="single" w:sz="4" w:space="0" w:color="auto"/>
              <w:left w:val="single" w:sz="4" w:space="0" w:color="auto"/>
              <w:bottom w:val="single" w:sz="4" w:space="0" w:color="auto"/>
              <w:right w:val="single" w:sz="4" w:space="0" w:color="auto"/>
            </w:tcBorders>
            <w:shd w:val="clear" w:color="auto" w:fill="C7C7C7"/>
            <w:noWrap/>
            <w:hideMark/>
          </w:tcPr>
          <w:p w14:paraId="434FCA05" w14:textId="77777777" w:rsidR="00EB4DCF" w:rsidRDefault="00EB4DCF" w:rsidP="001955DD">
            <w:pPr>
              <w:spacing w:after="200" w:line="276" w:lineRule="auto"/>
              <w:jc w:val="right"/>
              <w:rPr>
                <w:rFonts w:ascii="Arial" w:eastAsia="Calibri" w:hAnsi="Arial" w:cs="Arial"/>
                <w:b/>
                <w:bCs/>
                <w:sz w:val="20"/>
                <w:szCs w:val="20"/>
              </w:rPr>
            </w:pPr>
            <w:r>
              <w:rPr>
                <w:rFonts w:ascii="Arial" w:eastAsia="Calibri" w:hAnsi="Arial" w:cs="Arial"/>
                <w:b/>
                <w:bCs/>
                <w:sz w:val="20"/>
                <w:szCs w:val="20"/>
              </w:rPr>
              <w:t>2022/23</w:t>
            </w:r>
          </w:p>
        </w:tc>
      </w:tr>
      <w:tr w:rsidR="00EB4DCF" w14:paraId="282EA56F" w14:textId="77777777" w:rsidTr="001C2807">
        <w:trPr>
          <w:trHeight w:val="315"/>
        </w:trPr>
        <w:tc>
          <w:tcPr>
            <w:tcW w:w="6094" w:type="dxa"/>
            <w:tcBorders>
              <w:top w:val="single" w:sz="4" w:space="0" w:color="auto"/>
              <w:left w:val="single" w:sz="4" w:space="0" w:color="auto"/>
              <w:bottom w:val="single" w:sz="4" w:space="0" w:color="auto"/>
              <w:right w:val="single" w:sz="4" w:space="0" w:color="auto"/>
            </w:tcBorders>
            <w:noWrap/>
            <w:hideMark/>
          </w:tcPr>
          <w:p w14:paraId="6D857754" w14:textId="77777777" w:rsidR="00EB4DCF" w:rsidRDefault="00EB4DCF" w:rsidP="001955DD">
            <w:pPr>
              <w:spacing w:after="200" w:line="276" w:lineRule="auto"/>
              <w:rPr>
                <w:rFonts w:ascii="Arial" w:eastAsia="Calibri" w:hAnsi="Arial" w:cs="Arial"/>
                <w:sz w:val="20"/>
                <w:szCs w:val="20"/>
              </w:rPr>
            </w:pPr>
            <w:r>
              <w:rPr>
                <w:rFonts w:ascii="Arial" w:eastAsia="Calibri" w:hAnsi="Arial" w:cs="Arial"/>
                <w:sz w:val="20"/>
                <w:szCs w:val="20"/>
              </w:rPr>
              <w:t>0% starting rate for savings only</w:t>
            </w:r>
          </w:p>
        </w:tc>
        <w:tc>
          <w:tcPr>
            <w:tcW w:w="2030" w:type="dxa"/>
            <w:tcBorders>
              <w:top w:val="single" w:sz="4" w:space="0" w:color="auto"/>
              <w:left w:val="single" w:sz="4" w:space="0" w:color="auto"/>
              <w:bottom w:val="single" w:sz="4" w:space="0" w:color="auto"/>
              <w:right w:val="single" w:sz="4" w:space="0" w:color="auto"/>
            </w:tcBorders>
            <w:noWrap/>
            <w:hideMark/>
          </w:tcPr>
          <w:p w14:paraId="343FBADE"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Up to £5,000</w:t>
            </w:r>
          </w:p>
        </w:tc>
        <w:tc>
          <w:tcPr>
            <w:tcW w:w="2031" w:type="dxa"/>
            <w:tcBorders>
              <w:top w:val="single" w:sz="4" w:space="0" w:color="auto"/>
              <w:left w:val="single" w:sz="4" w:space="0" w:color="auto"/>
              <w:bottom w:val="single" w:sz="4" w:space="0" w:color="auto"/>
              <w:right w:val="single" w:sz="4" w:space="0" w:color="auto"/>
            </w:tcBorders>
            <w:noWrap/>
            <w:hideMark/>
          </w:tcPr>
          <w:p w14:paraId="0BF0991D"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Up to £5,000</w:t>
            </w:r>
          </w:p>
        </w:tc>
      </w:tr>
      <w:tr w:rsidR="00EB4DCF" w14:paraId="221F99EC" w14:textId="77777777" w:rsidTr="001C2807">
        <w:trPr>
          <w:trHeight w:val="315"/>
        </w:trPr>
        <w:tc>
          <w:tcPr>
            <w:tcW w:w="6094" w:type="dxa"/>
            <w:tcBorders>
              <w:top w:val="single" w:sz="4" w:space="0" w:color="auto"/>
              <w:left w:val="single" w:sz="4" w:space="0" w:color="auto"/>
              <w:bottom w:val="single" w:sz="4" w:space="0" w:color="auto"/>
              <w:right w:val="single" w:sz="4" w:space="0" w:color="auto"/>
            </w:tcBorders>
            <w:noWrap/>
            <w:hideMark/>
          </w:tcPr>
          <w:p w14:paraId="208D5A22" w14:textId="508657BB" w:rsidR="00EB4DCF" w:rsidRDefault="00EB4DCF" w:rsidP="001955DD">
            <w:pPr>
              <w:spacing w:after="200" w:line="276" w:lineRule="auto"/>
              <w:rPr>
                <w:rFonts w:ascii="Arial" w:eastAsia="Calibri" w:hAnsi="Arial" w:cs="Arial"/>
                <w:sz w:val="20"/>
                <w:szCs w:val="20"/>
              </w:rPr>
            </w:pPr>
            <w:r>
              <w:rPr>
                <w:rFonts w:ascii="Arial" w:eastAsia="Calibri" w:hAnsi="Arial" w:cs="Arial"/>
                <w:sz w:val="20"/>
                <w:szCs w:val="20"/>
              </w:rPr>
              <w:t>20% basic rate tax</w:t>
            </w:r>
          </w:p>
        </w:tc>
        <w:tc>
          <w:tcPr>
            <w:tcW w:w="2030" w:type="dxa"/>
            <w:tcBorders>
              <w:top w:val="single" w:sz="4" w:space="0" w:color="auto"/>
              <w:left w:val="single" w:sz="4" w:space="0" w:color="auto"/>
              <w:bottom w:val="single" w:sz="4" w:space="0" w:color="auto"/>
              <w:right w:val="single" w:sz="4" w:space="0" w:color="auto"/>
            </w:tcBorders>
            <w:noWrap/>
            <w:hideMark/>
          </w:tcPr>
          <w:p w14:paraId="69C796C7"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£12,571-£50,270</w:t>
            </w:r>
          </w:p>
        </w:tc>
        <w:tc>
          <w:tcPr>
            <w:tcW w:w="2031" w:type="dxa"/>
            <w:tcBorders>
              <w:top w:val="single" w:sz="4" w:space="0" w:color="auto"/>
              <w:left w:val="single" w:sz="4" w:space="0" w:color="auto"/>
              <w:bottom w:val="single" w:sz="4" w:space="0" w:color="auto"/>
              <w:right w:val="single" w:sz="4" w:space="0" w:color="auto"/>
            </w:tcBorders>
            <w:noWrap/>
            <w:hideMark/>
          </w:tcPr>
          <w:p w14:paraId="28F034A0"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£12,571-£50,270</w:t>
            </w:r>
          </w:p>
        </w:tc>
      </w:tr>
      <w:tr w:rsidR="00EB4DCF" w14:paraId="7FAC8561" w14:textId="77777777" w:rsidTr="001C2807">
        <w:trPr>
          <w:trHeight w:val="315"/>
        </w:trPr>
        <w:tc>
          <w:tcPr>
            <w:tcW w:w="6094" w:type="dxa"/>
            <w:tcBorders>
              <w:top w:val="single" w:sz="4" w:space="0" w:color="auto"/>
              <w:left w:val="single" w:sz="4" w:space="0" w:color="auto"/>
              <w:bottom w:val="single" w:sz="4" w:space="0" w:color="auto"/>
              <w:right w:val="single" w:sz="4" w:space="0" w:color="auto"/>
            </w:tcBorders>
            <w:noWrap/>
            <w:hideMark/>
          </w:tcPr>
          <w:p w14:paraId="3160A443" w14:textId="77777777" w:rsidR="00EB4DCF" w:rsidRDefault="00EB4DCF" w:rsidP="001955DD">
            <w:pPr>
              <w:spacing w:after="200" w:line="276" w:lineRule="auto"/>
              <w:rPr>
                <w:rFonts w:ascii="Arial" w:eastAsia="Calibri" w:hAnsi="Arial" w:cs="Arial"/>
                <w:sz w:val="20"/>
                <w:szCs w:val="20"/>
              </w:rPr>
            </w:pPr>
            <w:r>
              <w:rPr>
                <w:rFonts w:ascii="Arial" w:eastAsia="Calibri" w:hAnsi="Arial" w:cs="Arial"/>
                <w:sz w:val="20"/>
                <w:szCs w:val="20"/>
              </w:rPr>
              <w:t>40% higher rate tax</w:t>
            </w:r>
          </w:p>
        </w:tc>
        <w:tc>
          <w:tcPr>
            <w:tcW w:w="2030" w:type="dxa"/>
            <w:tcBorders>
              <w:top w:val="single" w:sz="4" w:space="0" w:color="auto"/>
              <w:left w:val="single" w:sz="4" w:space="0" w:color="auto"/>
              <w:bottom w:val="single" w:sz="4" w:space="0" w:color="auto"/>
              <w:right w:val="single" w:sz="4" w:space="0" w:color="auto"/>
            </w:tcBorders>
            <w:noWrap/>
            <w:hideMark/>
          </w:tcPr>
          <w:p w14:paraId="638A7AA6"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£50,271-£125,140</w:t>
            </w:r>
          </w:p>
        </w:tc>
        <w:tc>
          <w:tcPr>
            <w:tcW w:w="2031" w:type="dxa"/>
            <w:tcBorders>
              <w:top w:val="single" w:sz="4" w:space="0" w:color="auto"/>
              <w:left w:val="single" w:sz="4" w:space="0" w:color="auto"/>
              <w:bottom w:val="single" w:sz="4" w:space="0" w:color="auto"/>
              <w:right w:val="single" w:sz="4" w:space="0" w:color="auto"/>
            </w:tcBorders>
            <w:noWrap/>
            <w:hideMark/>
          </w:tcPr>
          <w:p w14:paraId="52902A1D"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£50,271-£150,000</w:t>
            </w:r>
          </w:p>
        </w:tc>
      </w:tr>
      <w:tr w:rsidR="00EB4DCF" w14:paraId="49D753BA" w14:textId="77777777" w:rsidTr="001C2807">
        <w:trPr>
          <w:trHeight w:val="315"/>
        </w:trPr>
        <w:tc>
          <w:tcPr>
            <w:tcW w:w="6094" w:type="dxa"/>
            <w:tcBorders>
              <w:top w:val="single" w:sz="4" w:space="0" w:color="auto"/>
              <w:left w:val="single" w:sz="4" w:space="0" w:color="auto"/>
              <w:bottom w:val="single" w:sz="4" w:space="0" w:color="auto"/>
              <w:right w:val="single" w:sz="4" w:space="0" w:color="auto"/>
            </w:tcBorders>
            <w:noWrap/>
            <w:hideMark/>
          </w:tcPr>
          <w:p w14:paraId="1885DB31" w14:textId="77777777" w:rsidR="00EB4DCF" w:rsidRDefault="00EB4DCF" w:rsidP="001955DD">
            <w:pPr>
              <w:spacing w:after="200" w:line="276" w:lineRule="auto"/>
              <w:rPr>
                <w:rFonts w:ascii="Arial" w:eastAsia="Calibri" w:hAnsi="Arial" w:cs="Arial"/>
                <w:sz w:val="20"/>
                <w:szCs w:val="20"/>
              </w:rPr>
            </w:pPr>
            <w:r>
              <w:rPr>
                <w:rFonts w:ascii="Arial" w:eastAsia="Calibri" w:hAnsi="Arial" w:cs="Arial"/>
                <w:sz w:val="20"/>
                <w:szCs w:val="20"/>
              </w:rPr>
              <w:t>45% additional rate tax</w:t>
            </w:r>
          </w:p>
        </w:tc>
        <w:tc>
          <w:tcPr>
            <w:tcW w:w="2030" w:type="dxa"/>
            <w:tcBorders>
              <w:top w:val="single" w:sz="4" w:space="0" w:color="auto"/>
              <w:left w:val="single" w:sz="4" w:space="0" w:color="auto"/>
              <w:bottom w:val="single" w:sz="4" w:space="0" w:color="auto"/>
              <w:right w:val="single" w:sz="4" w:space="0" w:color="auto"/>
            </w:tcBorders>
            <w:noWrap/>
            <w:hideMark/>
          </w:tcPr>
          <w:p w14:paraId="6236B181"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Above £125,140</w:t>
            </w:r>
          </w:p>
        </w:tc>
        <w:tc>
          <w:tcPr>
            <w:tcW w:w="2031" w:type="dxa"/>
            <w:tcBorders>
              <w:top w:val="single" w:sz="4" w:space="0" w:color="auto"/>
              <w:left w:val="single" w:sz="4" w:space="0" w:color="auto"/>
              <w:bottom w:val="single" w:sz="4" w:space="0" w:color="auto"/>
              <w:right w:val="single" w:sz="4" w:space="0" w:color="auto"/>
            </w:tcBorders>
            <w:noWrap/>
            <w:hideMark/>
          </w:tcPr>
          <w:p w14:paraId="67447F5F" w14:textId="77777777" w:rsidR="00EB4DCF" w:rsidRDefault="00EB4DCF" w:rsidP="001955DD">
            <w:pPr>
              <w:spacing w:after="200" w:line="276" w:lineRule="auto"/>
              <w:jc w:val="right"/>
              <w:rPr>
                <w:rFonts w:ascii="Arial" w:eastAsia="Calibri" w:hAnsi="Arial" w:cs="Arial"/>
                <w:sz w:val="20"/>
                <w:szCs w:val="20"/>
              </w:rPr>
            </w:pPr>
            <w:r>
              <w:rPr>
                <w:rFonts w:ascii="Arial" w:eastAsia="Calibri" w:hAnsi="Arial" w:cs="Arial"/>
                <w:sz w:val="20"/>
                <w:szCs w:val="20"/>
              </w:rPr>
              <w:t>Above £150,000</w:t>
            </w:r>
          </w:p>
        </w:tc>
      </w:tr>
    </w:tbl>
    <w:p w14:paraId="64B3D5D8" w14:textId="77777777" w:rsidR="00EB4DCF" w:rsidRDefault="00EB4DCF" w:rsidP="00EB4DCF">
      <w:pPr>
        <w:rPr>
          <w:rFonts w:ascii="Arial" w:eastAsiaTheme="minorHAnsi" w:hAnsi="Arial" w:cs="Arial"/>
          <w:sz w:val="20"/>
          <w:szCs w:val="20"/>
        </w:rPr>
      </w:pPr>
    </w:p>
    <w:tbl>
      <w:tblPr>
        <w:tblW w:w="10159" w:type="dxa"/>
        <w:tblLayout w:type="fixed"/>
        <w:tblLook w:val="04A0" w:firstRow="1" w:lastRow="0" w:firstColumn="1" w:lastColumn="0" w:noHBand="0" w:noVBand="1"/>
      </w:tblPr>
      <w:tblGrid>
        <w:gridCol w:w="6096"/>
        <w:gridCol w:w="2031"/>
        <w:gridCol w:w="2032"/>
      </w:tblGrid>
      <w:tr w:rsidR="00585D81" w:rsidRPr="00664C72" w14:paraId="71B5EAA1" w14:textId="77777777" w:rsidTr="001955DD">
        <w:trPr>
          <w:trHeight w:val="631"/>
        </w:trPr>
        <w:tc>
          <w:tcPr>
            <w:tcW w:w="10159" w:type="dxa"/>
            <w:gridSpan w:val="3"/>
            <w:tcBorders>
              <w:top w:val="single" w:sz="4" w:space="0" w:color="auto"/>
              <w:left w:val="single" w:sz="4" w:space="0" w:color="auto"/>
              <w:bottom w:val="single" w:sz="4" w:space="0" w:color="auto"/>
              <w:right w:val="single" w:sz="4" w:space="0" w:color="auto"/>
            </w:tcBorders>
            <w:shd w:val="clear" w:color="auto" w:fill="C7C7C7"/>
            <w:noWrap/>
            <w:hideMark/>
          </w:tcPr>
          <w:p w14:paraId="23B6EE41" w14:textId="77777777" w:rsidR="00585D81" w:rsidRDefault="00585D81" w:rsidP="001955DD">
            <w:pPr>
              <w:spacing w:after="200" w:line="276" w:lineRule="auto"/>
              <w:rPr>
                <w:rFonts w:ascii="Arial" w:eastAsia="Calibri" w:hAnsi="Arial" w:cs="Arial"/>
                <w:b/>
                <w:bCs/>
                <w:sz w:val="20"/>
                <w:szCs w:val="20"/>
              </w:rPr>
            </w:pPr>
            <w:r w:rsidRPr="00664C72">
              <w:rPr>
                <w:rFonts w:ascii="Arial" w:eastAsia="Calibri" w:hAnsi="Arial" w:cs="Arial"/>
                <w:b/>
                <w:bCs/>
                <w:sz w:val="20"/>
                <w:szCs w:val="20"/>
              </w:rPr>
              <w:t>Scottish rates of income tax (non-dividend income)</w:t>
            </w:r>
          </w:p>
          <w:p w14:paraId="3BDEE9A3" w14:textId="77777777" w:rsidR="00585D81" w:rsidRPr="00664C72" w:rsidRDefault="00585D81" w:rsidP="001955DD">
            <w:pPr>
              <w:spacing w:after="200" w:line="276" w:lineRule="auto"/>
              <w:rPr>
                <w:rFonts w:ascii="Arial" w:eastAsia="Calibri" w:hAnsi="Arial" w:cs="Arial"/>
                <w:b/>
                <w:bCs/>
                <w:sz w:val="20"/>
                <w:szCs w:val="20"/>
              </w:rPr>
            </w:pPr>
            <w:r w:rsidRPr="007F0DC4">
              <w:rPr>
                <w:rFonts w:ascii="Arial" w:eastAsia="Calibri" w:hAnsi="Arial" w:cs="Arial"/>
                <w:b/>
                <w:bCs/>
                <w:sz w:val="16"/>
                <w:szCs w:val="16"/>
              </w:rPr>
              <w:t xml:space="preserve">Scottish taxpayers pay the same tax as the rest of the UK on dividends and savings interest  </w:t>
            </w:r>
            <w:r w:rsidRPr="00664C72">
              <w:rPr>
                <w:rFonts w:ascii="Arial" w:eastAsia="Calibri" w:hAnsi="Arial" w:cs="Arial"/>
                <w:b/>
                <w:bCs/>
                <w:sz w:val="20"/>
                <w:szCs w:val="20"/>
              </w:rPr>
              <w:t xml:space="preserve">                                        </w:t>
            </w:r>
          </w:p>
        </w:tc>
      </w:tr>
      <w:tr w:rsidR="00585D81" w:rsidRPr="00664C72" w14:paraId="70ECF5E0" w14:textId="77777777" w:rsidTr="001955DD">
        <w:trPr>
          <w:trHeight w:val="315"/>
        </w:trPr>
        <w:tc>
          <w:tcPr>
            <w:tcW w:w="6096" w:type="dxa"/>
            <w:tcBorders>
              <w:top w:val="single" w:sz="4" w:space="0" w:color="auto"/>
              <w:left w:val="single" w:sz="4" w:space="0" w:color="auto"/>
              <w:bottom w:val="single" w:sz="4" w:space="0" w:color="auto"/>
              <w:right w:val="single" w:sz="4" w:space="0" w:color="auto"/>
            </w:tcBorders>
            <w:noWrap/>
            <w:hideMark/>
          </w:tcPr>
          <w:p w14:paraId="6AF70936" w14:textId="77777777" w:rsidR="00585D81" w:rsidRPr="00664C72" w:rsidRDefault="00585D81" w:rsidP="001955DD">
            <w:pPr>
              <w:spacing w:after="200" w:line="276" w:lineRule="auto"/>
              <w:rPr>
                <w:rFonts w:ascii="Arial" w:eastAsia="Calibri" w:hAnsi="Arial" w:cs="Arial"/>
                <w:sz w:val="20"/>
                <w:szCs w:val="20"/>
              </w:rPr>
            </w:pPr>
            <w:r w:rsidRPr="00664C72">
              <w:rPr>
                <w:rFonts w:ascii="Arial" w:eastAsia="Calibri" w:hAnsi="Arial" w:cs="Arial"/>
                <w:sz w:val="20"/>
                <w:szCs w:val="20"/>
              </w:rPr>
              <w:t xml:space="preserve">19% starting rate </w:t>
            </w:r>
          </w:p>
        </w:tc>
        <w:tc>
          <w:tcPr>
            <w:tcW w:w="2031" w:type="dxa"/>
            <w:tcBorders>
              <w:top w:val="single" w:sz="4" w:space="0" w:color="auto"/>
              <w:left w:val="single" w:sz="4" w:space="0" w:color="auto"/>
              <w:bottom w:val="single" w:sz="4" w:space="0" w:color="auto"/>
              <w:right w:val="single" w:sz="4" w:space="0" w:color="auto"/>
            </w:tcBorders>
          </w:tcPr>
          <w:p w14:paraId="22295E05"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£12,571-£14,732</w:t>
            </w:r>
          </w:p>
        </w:tc>
        <w:tc>
          <w:tcPr>
            <w:tcW w:w="2032" w:type="dxa"/>
            <w:tcBorders>
              <w:top w:val="single" w:sz="4" w:space="0" w:color="auto"/>
              <w:left w:val="single" w:sz="4" w:space="0" w:color="auto"/>
              <w:bottom w:val="single" w:sz="4" w:space="0" w:color="auto"/>
              <w:right w:val="single" w:sz="4" w:space="0" w:color="auto"/>
            </w:tcBorders>
            <w:hideMark/>
          </w:tcPr>
          <w:p w14:paraId="2808B3F8"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£12,571-£14,732</w:t>
            </w:r>
          </w:p>
        </w:tc>
      </w:tr>
      <w:tr w:rsidR="00585D81" w:rsidRPr="00664C72" w14:paraId="165A6806" w14:textId="77777777" w:rsidTr="001955DD">
        <w:trPr>
          <w:trHeight w:val="315"/>
        </w:trPr>
        <w:tc>
          <w:tcPr>
            <w:tcW w:w="6096" w:type="dxa"/>
            <w:tcBorders>
              <w:top w:val="single" w:sz="4" w:space="0" w:color="auto"/>
              <w:left w:val="single" w:sz="4" w:space="0" w:color="auto"/>
              <w:bottom w:val="single" w:sz="4" w:space="0" w:color="auto"/>
              <w:right w:val="single" w:sz="4" w:space="0" w:color="auto"/>
            </w:tcBorders>
            <w:noWrap/>
            <w:hideMark/>
          </w:tcPr>
          <w:p w14:paraId="4DA188D6" w14:textId="77777777" w:rsidR="00585D81" w:rsidRPr="00664C72" w:rsidRDefault="00585D81" w:rsidP="001955DD">
            <w:pPr>
              <w:spacing w:after="200" w:line="276" w:lineRule="auto"/>
              <w:rPr>
                <w:rFonts w:ascii="Arial" w:eastAsia="Calibri" w:hAnsi="Arial" w:cs="Arial"/>
                <w:sz w:val="20"/>
                <w:szCs w:val="20"/>
              </w:rPr>
            </w:pPr>
            <w:r w:rsidRPr="00664C72">
              <w:rPr>
                <w:rFonts w:ascii="Arial" w:eastAsia="Calibri" w:hAnsi="Arial" w:cs="Arial"/>
                <w:sz w:val="20"/>
                <w:szCs w:val="20"/>
              </w:rPr>
              <w:t>20% basic rate tax</w:t>
            </w:r>
          </w:p>
        </w:tc>
        <w:tc>
          <w:tcPr>
            <w:tcW w:w="2031" w:type="dxa"/>
            <w:tcBorders>
              <w:top w:val="single" w:sz="4" w:space="0" w:color="auto"/>
              <w:left w:val="single" w:sz="4" w:space="0" w:color="auto"/>
              <w:bottom w:val="single" w:sz="4" w:space="0" w:color="auto"/>
              <w:right w:val="single" w:sz="4" w:space="0" w:color="auto"/>
            </w:tcBorders>
          </w:tcPr>
          <w:p w14:paraId="490B5A53"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£14,733-£25,688</w:t>
            </w:r>
          </w:p>
        </w:tc>
        <w:tc>
          <w:tcPr>
            <w:tcW w:w="2032" w:type="dxa"/>
            <w:tcBorders>
              <w:top w:val="single" w:sz="4" w:space="0" w:color="auto"/>
              <w:left w:val="single" w:sz="4" w:space="0" w:color="auto"/>
              <w:bottom w:val="single" w:sz="4" w:space="0" w:color="auto"/>
              <w:right w:val="single" w:sz="4" w:space="0" w:color="auto"/>
            </w:tcBorders>
            <w:hideMark/>
          </w:tcPr>
          <w:p w14:paraId="53950129"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£14,733-£25,688</w:t>
            </w:r>
          </w:p>
        </w:tc>
      </w:tr>
      <w:tr w:rsidR="00585D81" w:rsidRPr="00664C72" w14:paraId="6F8BCFB2" w14:textId="77777777" w:rsidTr="001955DD">
        <w:trPr>
          <w:trHeight w:val="315"/>
        </w:trPr>
        <w:tc>
          <w:tcPr>
            <w:tcW w:w="6096" w:type="dxa"/>
            <w:tcBorders>
              <w:top w:val="single" w:sz="4" w:space="0" w:color="auto"/>
              <w:left w:val="single" w:sz="4" w:space="0" w:color="auto"/>
              <w:bottom w:val="single" w:sz="4" w:space="0" w:color="auto"/>
              <w:right w:val="single" w:sz="4" w:space="0" w:color="auto"/>
            </w:tcBorders>
            <w:noWrap/>
            <w:hideMark/>
          </w:tcPr>
          <w:p w14:paraId="255577C3" w14:textId="77777777" w:rsidR="00585D81" w:rsidRPr="00664C72" w:rsidRDefault="00585D81" w:rsidP="001955DD">
            <w:pPr>
              <w:spacing w:after="200" w:line="276" w:lineRule="auto"/>
              <w:rPr>
                <w:rFonts w:ascii="Arial" w:eastAsia="Calibri" w:hAnsi="Arial" w:cs="Arial"/>
                <w:sz w:val="20"/>
                <w:szCs w:val="20"/>
              </w:rPr>
            </w:pPr>
            <w:r w:rsidRPr="00664C72">
              <w:rPr>
                <w:rFonts w:ascii="Arial" w:eastAsia="Calibri" w:hAnsi="Arial" w:cs="Arial"/>
                <w:sz w:val="20"/>
                <w:szCs w:val="20"/>
              </w:rPr>
              <w:t>21% intermediate rate tax</w:t>
            </w:r>
          </w:p>
        </w:tc>
        <w:tc>
          <w:tcPr>
            <w:tcW w:w="2031" w:type="dxa"/>
            <w:tcBorders>
              <w:top w:val="single" w:sz="4" w:space="0" w:color="auto"/>
              <w:left w:val="single" w:sz="4" w:space="0" w:color="auto"/>
              <w:bottom w:val="single" w:sz="4" w:space="0" w:color="auto"/>
              <w:right w:val="single" w:sz="4" w:space="0" w:color="auto"/>
            </w:tcBorders>
          </w:tcPr>
          <w:p w14:paraId="5AE0358D"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£25,689-£43,662</w:t>
            </w:r>
          </w:p>
        </w:tc>
        <w:tc>
          <w:tcPr>
            <w:tcW w:w="2032" w:type="dxa"/>
            <w:tcBorders>
              <w:top w:val="single" w:sz="4" w:space="0" w:color="auto"/>
              <w:left w:val="single" w:sz="4" w:space="0" w:color="auto"/>
              <w:bottom w:val="single" w:sz="4" w:space="0" w:color="auto"/>
              <w:right w:val="single" w:sz="4" w:space="0" w:color="auto"/>
            </w:tcBorders>
            <w:hideMark/>
          </w:tcPr>
          <w:p w14:paraId="66734786"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£25,689-£43,662</w:t>
            </w:r>
          </w:p>
        </w:tc>
      </w:tr>
      <w:tr w:rsidR="00585D81" w:rsidRPr="00664C72" w14:paraId="5AB12048" w14:textId="77777777" w:rsidTr="001955DD">
        <w:trPr>
          <w:trHeight w:val="315"/>
        </w:trPr>
        <w:tc>
          <w:tcPr>
            <w:tcW w:w="6096" w:type="dxa"/>
            <w:tcBorders>
              <w:top w:val="single" w:sz="4" w:space="0" w:color="auto"/>
              <w:left w:val="single" w:sz="4" w:space="0" w:color="auto"/>
              <w:bottom w:val="single" w:sz="4" w:space="0" w:color="auto"/>
              <w:right w:val="single" w:sz="4" w:space="0" w:color="auto"/>
            </w:tcBorders>
            <w:noWrap/>
            <w:hideMark/>
          </w:tcPr>
          <w:p w14:paraId="61ABCEB5" w14:textId="77777777" w:rsidR="00585D81" w:rsidRPr="00664C72" w:rsidRDefault="00585D81" w:rsidP="001955DD">
            <w:pPr>
              <w:spacing w:after="200" w:line="276" w:lineRule="auto"/>
              <w:rPr>
                <w:rFonts w:ascii="Arial" w:eastAsia="Calibri" w:hAnsi="Arial" w:cs="Arial"/>
                <w:sz w:val="20"/>
                <w:szCs w:val="20"/>
              </w:rPr>
            </w:pPr>
            <w:r w:rsidRPr="00664C72">
              <w:rPr>
                <w:rFonts w:ascii="Arial" w:eastAsia="Calibri" w:hAnsi="Arial" w:cs="Arial"/>
                <w:sz w:val="20"/>
                <w:szCs w:val="20"/>
              </w:rPr>
              <w:t>41% higher rate tax</w:t>
            </w:r>
          </w:p>
        </w:tc>
        <w:tc>
          <w:tcPr>
            <w:tcW w:w="2031" w:type="dxa"/>
            <w:tcBorders>
              <w:top w:val="single" w:sz="4" w:space="0" w:color="auto"/>
              <w:left w:val="single" w:sz="4" w:space="0" w:color="auto"/>
              <w:bottom w:val="single" w:sz="4" w:space="0" w:color="auto"/>
              <w:right w:val="single" w:sz="4" w:space="0" w:color="auto"/>
            </w:tcBorders>
          </w:tcPr>
          <w:p w14:paraId="1725D717"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£43,663-£150,000</w:t>
            </w:r>
          </w:p>
        </w:tc>
        <w:tc>
          <w:tcPr>
            <w:tcW w:w="2032" w:type="dxa"/>
            <w:tcBorders>
              <w:top w:val="single" w:sz="4" w:space="0" w:color="auto"/>
              <w:left w:val="single" w:sz="4" w:space="0" w:color="auto"/>
              <w:bottom w:val="single" w:sz="4" w:space="0" w:color="auto"/>
              <w:right w:val="single" w:sz="4" w:space="0" w:color="auto"/>
            </w:tcBorders>
            <w:hideMark/>
          </w:tcPr>
          <w:p w14:paraId="21B93EF6"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£43,663-£150,000</w:t>
            </w:r>
          </w:p>
        </w:tc>
      </w:tr>
      <w:tr w:rsidR="00585D81" w:rsidRPr="00664C72" w14:paraId="3542DD89" w14:textId="77777777" w:rsidTr="001955DD">
        <w:trPr>
          <w:trHeight w:val="315"/>
        </w:trPr>
        <w:tc>
          <w:tcPr>
            <w:tcW w:w="6096" w:type="dxa"/>
            <w:tcBorders>
              <w:top w:val="single" w:sz="4" w:space="0" w:color="auto"/>
              <w:left w:val="single" w:sz="4" w:space="0" w:color="auto"/>
              <w:bottom w:val="single" w:sz="4" w:space="0" w:color="auto"/>
              <w:right w:val="single" w:sz="4" w:space="0" w:color="auto"/>
            </w:tcBorders>
            <w:noWrap/>
          </w:tcPr>
          <w:p w14:paraId="58305DD8" w14:textId="77777777" w:rsidR="00585D81" w:rsidRPr="00664C72" w:rsidRDefault="00585D81" w:rsidP="001955DD">
            <w:pPr>
              <w:spacing w:after="200" w:line="276" w:lineRule="auto"/>
              <w:rPr>
                <w:rFonts w:ascii="Arial" w:eastAsia="Calibri" w:hAnsi="Arial" w:cs="Arial"/>
                <w:sz w:val="20"/>
                <w:szCs w:val="20"/>
              </w:rPr>
            </w:pPr>
            <w:r w:rsidRPr="00664C72">
              <w:rPr>
                <w:rFonts w:ascii="Arial" w:eastAsia="Calibri" w:hAnsi="Arial" w:cs="Arial"/>
                <w:sz w:val="20"/>
                <w:szCs w:val="20"/>
              </w:rPr>
              <w:t>46% top rate</w:t>
            </w:r>
          </w:p>
        </w:tc>
        <w:tc>
          <w:tcPr>
            <w:tcW w:w="2031" w:type="dxa"/>
            <w:tcBorders>
              <w:top w:val="single" w:sz="4" w:space="0" w:color="auto"/>
              <w:left w:val="single" w:sz="4" w:space="0" w:color="auto"/>
              <w:bottom w:val="single" w:sz="4" w:space="0" w:color="auto"/>
              <w:right w:val="single" w:sz="4" w:space="0" w:color="auto"/>
            </w:tcBorders>
          </w:tcPr>
          <w:p w14:paraId="528D12B1"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Above £150,000</w:t>
            </w:r>
          </w:p>
        </w:tc>
        <w:tc>
          <w:tcPr>
            <w:tcW w:w="2032" w:type="dxa"/>
            <w:tcBorders>
              <w:top w:val="single" w:sz="4" w:space="0" w:color="auto"/>
              <w:left w:val="single" w:sz="4" w:space="0" w:color="auto"/>
              <w:bottom w:val="single" w:sz="4" w:space="0" w:color="auto"/>
              <w:right w:val="single" w:sz="4" w:space="0" w:color="auto"/>
            </w:tcBorders>
          </w:tcPr>
          <w:p w14:paraId="0912E75F" w14:textId="77777777" w:rsidR="00585D81" w:rsidRPr="00664C72" w:rsidRDefault="00585D81" w:rsidP="001955DD">
            <w:pPr>
              <w:spacing w:after="200" w:line="276" w:lineRule="auto"/>
              <w:jc w:val="right"/>
              <w:rPr>
                <w:rFonts w:ascii="Arial" w:eastAsia="Calibri" w:hAnsi="Arial" w:cs="Arial"/>
                <w:sz w:val="20"/>
                <w:szCs w:val="20"/>
              </w:rPr>
            </w:pPr>
            <w:r w:rsidRPr="00664C72">
              <w:rPr>
                <w:rFonts w:ascii="Arial" w:eastAsia="Calibri" w:hAnsi="Arial" w:cs="Arial"/>
                <w:sz w:val="20"/>
                <w:szCs w:val="20"/>
              </w:rPr>
              <w:t>Above £150,000</w:t>
            </w:r>
          </w:p>
        </w:tc>
      </w:tr>
    </w:tbl>
    <w:p w14:paraId="621FA00D" w14:textId="77777777" w:rsidR="00EB4DCF" w:rsidRPr="009B5FF5" w:rsidRDefault="00EB4DCF" w:rsidP="00EB4DCF">
      <w:pPr>
        <w:rPr>
          <w:rFonts w:ascii="Arial" w:hAnsi="Arial" w:cs="Arial"/>
          <w:b/>
          <w:color w:val="FF0000"/>
          <w:sz w:val="22"/>
          <w:szCs w:val="22"/>
        </w:rPr>
      </w:pPr>
    </w:p>
    <w:p w14:paraId="7EE2888A" w14:textId="2D1565B2" w:rsidR="00DE6AF3" w:rsidRDefault="00644F3A" w:rsidP="007A2223">
      <w:pPr>
        <w:pStyle w:val="xmsonormal"/>
        <w:rPr>
          <w:rFonts w:ascii="Arial" w:hAnsi="Arial" w:cs="Arial"/>
          <w:i/>
          <w:iCs/>
        </w:rPr>
      </w:pPr>
      <w:r w:rsidRPr="00242A37">
        <w:rPr>
          <w:rFonts w:ascii="Arial" w:hAnsi="Arial" w:cs="Arial"/>
          <w:i/>
          <w:iCs/>
        </w:rPr>
        <w:t xml:space="preserve">The announcements </w:t>
      </w:r>
      <w:r w:rsidR="006F7DA7">
        <w:rPr>
          <w:rFonts w:ascii="Arial" w:hAnsi="Arial" w:cs="Arial"/>
          <w:i/>
          <w:iCs/>
        </w:rPr>
        <w:t>on</w:t>
      </w:r>
      <w:r w:rsidRPr="00242A37">
        <w:rPr>
          <w:rFonts w:ascii="Arial" w:hAnsi="Arial" w:cs="Arial"/>
          <w:i/>
          <w:iCs/>
        </w:rPr>
        <w:t xml:space="preserve"> income tax do not automatically affect rates in Scotland. The Scottish </w:t>
      </w:r>
      <w:r w:rsidR="00242A37" w:rsidRPr="00242A37">
        <w:rPr>
          <w:rFonts w:ascii="Arial" w:hAnsi="Arial" w:cs="Arial"/>
          <w:i/>
          <w:iCs/>
        </w:rPr>
        <w:t>g</w:t>
      </w:r>
      <w:r w:rsidRPr="00242A37">
        <w:rPr>
          <w:rFonts w:ascii="Arial" w:hAnsi="Arial" w:cs="Arial"/>
          <w:i/>
          <w:iCs/>
        </w:rPr>
        <w:t xml:space="preserve">overnment, which has responsibility for setting bands and rates of income tax in Scotland, will set out its plans for income tax (and other devolved taxes, including the property tax Land &amp; Buildings Transactions Tax) in its draft budget, expected to be published </w:t>
      </w:r>
      <w:r w:rsidR="0062120D" w:rsidRPr="00242A37">
        <w:rPr>
          <w:rFonts w:ascii="Arial" w:hAnsi="Arial" w:cs="Arial"/>
          <w:i/>
          <w:iCs/>
        </w:rPr>
        <w:t>o</w:t>
      </w:r>
      <w:r w:rsidRPr="00242A37">
        <w:rPr>
          <w:rFonts w:ascii="Arial" w:hAnsi="Arial" w:cs="Arial"/>
          <w:i/>
          <w:iCs/>
        </w:rPr>
        <w:t xml:space="preserve">n </w:t>
      </w:r>
      <w:r w:rsidR="0062120D" w:rsidRPr="00242A37">
        <w:rPr>
          <w:rFonts w:ascii="Arial" w:hAnsi="Arial" w:cs="Arial"/>
          <w:i/>
          <w:iCs/>
        </w:rPr>
        <w:t xml:space="preserve">15 </w:t>
      </w:r>
      <w:r w:rsidRPr="00242A37">
        <w:rPr>
          <w:rFonts w:ascii="Arial" w:hAnsi="Arial" w:cs="Arial"/>
          <w:i/>
          <w:iCs/>
        </w:rPr>
        <w:t>December</w:t>
      </w:r>
      <w:r w:rsidR="00242A37" w:rsidRPr="00242A37">
        <w:rPr>
          <w:rFonts w:ascii="Arial" w:hAnsi="Arial" w:cs="Arial"/>
          <w:i/>
          <w:iCs/>
        </w:rPr>
        <w:t xml:space="preserve">. </w:t>
      </w:r>
    </w:p>
    <w:p w14:paraId="2278C856" w14:textId="77777777" w:rsidR="00CE186D" w:rsidRDefault="00CE186D" w:rsidP="007A2223">
      <w:pPr>
        <w:pStyle w:val="xmsonormal"/>
        <w:rPr>
          <w:rFonts w:ascii="Arial" w:hAnsi="Arial" w:cs="Arial"/>
          <w:i/>
          <w:iCs/>
        </w:rPr>
      </w:pPr>
    </w:p>
    <w:p w14:paraId="342C4AE8" w14:textId="43A0D989" w:rsidR="00CE186D" w:rsidRDefault="002B3CEF" w:rsidP="007A2223">
      <w:pPr>
        <w:pStyle w:val="xmsonormal"/>
        <w:rPr>
          <w:rFonts w:ascii="Arial" w:hAnsi="Arial" w:cs="Arial"/>
          <w:i/>
          <w:iCs/>
        </w:rPr>
      </w:pPr>
      <w:r>
        <w:rPr>
          <w:rFonts w:ascii="Arial" w:hAnsi="Arial" w:cs="Arial"/>
          <w:i/>
          <w:iCs/>
        </w:rPr>
        <w:t>The Welsh gover</w:t>
      </w:r>
      <w:r w:rsidR="00E47DF1">
        <w:rPr>
          <w:rFonts w:ascii="Arial" w:hAnsi="Arial" w:cs="Arial"/>
          <w:i/>
          <w:iCs/>
        </w:rPr>
        <w:t xml:space="preserve">nment retains limited powers in relation to Income tax rates and may choose to </w:t>
      </w:r>
      <w:r w:rsidR="002B3CEB">
        <w:rPr>
          <w:rFonts w:ascii="Arial" w:hAnsi="Arial" w:cs="Arial"/>
          <w:i/>
          <w:iCs/>
        </w:rPr>
        <w:t>change these in their budget on 13 December.</w:t>
      </w:r>
    </w:p>
    <w:p w14:paraId="5F590897" w14:textId="77777777" w:rsidR="002B3CEB" w:rsidRDefault="002B3CEB" w:rsidP="007A2223">
      <w:pPr>
        <w:pStyle w:val="xmsonormal"/>
        <w:rPr>
          <w:rFonts w:ascii="Arial" w:hAnsi="Arial" w:cs="Arial"/>
          <w:i/>
          <w:iCs/>
        </w:rPr>
      </w:pPr>
    </w:p>
    <w:p w14:paraId="229374BB" w14:textId="5A8825A1" w:rsidR="002B3CEB" w:rsidRDefault="002B3CEB" w:rsidP="002B3CEB">
      <w:pPr>
        <w:pStyle w:val="xmsonormal"/>
        <w:rPr>
          <w:rFonts w:ascii="Arial" w:hAnsi="Arial" w:cs="Arial"/>
          <w:i/>
          <w:iCs/>
        </w:rPr>
      </w:pPr>
      <w:r w:rsidRPr="00242A37">
        <w:rPr>
          <w:rFonts w:ascii="Arial" w:hAnsi="Arial" w:cs="Arial"/>
          <w:i/>
          <w:iCs/>
        </w:rPr>
        <w:t>ACCA will provide further updates following publication</w:t>
      </w:r>
      <w:r>
        <w:rPr>
          <w:rFonts w:ascii="Arial" w:hAnsi="Arial" w:cs="Arial"/>
          <w:i/>
          <w:iCs/>
        </w:rPr>
        <w:t xml:space="preserve"> of the Scottish and Welsh budgets</w:t>
      </w:r>
      <w:r w:rsidRPr="00242A37">
        <w:rPr>
          <w:rFonts w:ascii="Arial" w:hAnsi="Arial" w:cs="Arial"/>
          <w:i/>
          <w:iCs/>
        </w:rPr>
        <w:t>.</w:t>
      </w:r>
    </w:p>
    <w:p w14:paraId="4D6E7BE2" w14:textId="77777777" w:rsidR="002B3CEB" w:rsidRPr="00242A37" w:rsidRDefault="002B3CEB" w:rsidP="007A2223">
      <w:pPr>
        <w:pStyle w:val="xmsonormal"/>
        <w:rPr>
          <w:rFonts w:ascii="Arial" w:hAnsi="Arial" w:cs="Arial"/>
          <w:i/>
          <w:iCs/>
        </w:rPr>
      </w:pPr>
    </w:p>
    <w:p w14:paraId="28154B68" w14:textId="53FAAA46" w:rsidR="00D11FBD" w:rsidRPr="00242A37" w:rsidRDefault="00D11FBD" w:rsidP="007A2223">
      <w:pPr>
        <w:pStyle w:val="xmsonormal"/>
        <w:rPr>
          <w:rFonts w:ascii="Arial" w:hAnsi="Arial" w:cs="Arial"/>
          <w:i/>
          <w:iCs/>
        </w:rPr>
      </w:pPr>
    </w:p>
    <w:p w14:paraId="0FC4E9BF" w14:textId="08BE41FF" w:rsidR="00CA3F40" w:rsidRPr="00242A37" w:rsidRDefault="00CA3F40" w:rsidP="00CA3F40">
      <w:pPr>
        <w:rPr>
          <w:rFonts w:ascii="Arial" w:eastAsiaTheme="minorHAnsi" w:hAnsi="Arial" w:cs="Arial"/>
          <w:b/>
          <w:bCs/>
          <w:sz w:val="22"/>
          <w:szCs w:val="22"/>
        </w:rPr>
      </w:pPr>
      <w:r w:rsidRPr="00242A37">
        <w:rPr>
          <w:rFonts w:ascii="Arial" w:eastAsiaTheme="minorHAnsi" w:hAnsi="Arial" w:cs="Arial"/>
          <w:b/>
          <w:bCs/>
          <w:sz w:val="22"/>
          <w:szCs w:val="22"/>
        </w:rPr>
        <w:t xml:space="preserve">Income </w:t>
      </w:r>
      <w:r w:rsidR="009E564F">
        <w:rPr>
          <w:rFonts w:ascii="Arial" w:eastAsiaTheme="minorHAnsi" w:hAnsi="Arial" w:cs="Arial"/>
          <w:b/>
          <w:bCs/>
          <w:sz w:val="22"/>
          <w:szCs w:val="22"/>
        </w:rPr>
        <w:t>t</w:t>
      </w:r>
      <w:r w:rsidRPr="00242A37">
        <w:rPr>
          <w:rFonts w:ascii="Arial" w:eastAsiaTheme="minorHAnsi" w:hAnsi="Arial" w:cs="Arial"/>
          <w:b/>
          <w:bCs/>
          <w:sz w:val="22"/>
          <w:szCs w:val="22"/>
        </w:rPr>
        <w:t>ax</w:t>
      </w:r>
    </w:p>
    <w:p w14:paraId="4C505485" w14:textId="361F1703" w:rsidR="006D2DD0" w:rsidRPr="00242A37" w:rsidRDefault="006D2DD0" w:rsidP="006D2DD0">
      <w:pPr>
        <w:rPr>
          <w:rFonts w:ascii="Arial" w:hAnsi="Arial" w:cs="Arial"/>
          <w:sz w:val="22"/>
          <w:szCs w:val="22"/>
        </w:rPr>
      </w:pPr>
      <w:r w:rsidRPr="00242A37">
        <w:rPr>
          <w:rFonts w:ascii="Arial" w:hAnsi="Arial" w:cs="Arial"/>
          <w:sz w:val="22"/>
          <w:szCs w:val="22"/>
        </w:rPr>
        <w:t xml:space="preserve">The income tax additional rate threshold will reduce from £150,000 to £125,140 from April 2023. Reducing these thresholds will cost £1,243 for </w:t>
      </w:r>
      <w:r w:rsidR="009E564F">
        <w:rPr>
          <w:rFonts w:ascii="Arial" w:hAnsi="Arial" w:cs="Arial"/>
          <w:sz w:val="22"/>
          <w:szCs w:val="22"/>
        </w:rPr>
        <w:t xml:space="preserve">an </w:t>
      </w:r>
      <w:r w:rsidRPr="00242A37">
        <w:rPr>
          <w:rFonts w:ascii="Arial" w:hAnsi="Arial" w:cs="Arial"/>
          <w:sz w:val="22"/>
          <w:szCs w:val="22"/>
        </w:rPr>
        <w:t xml:space="preserve">additional rate taxpayer. </w:t>
      </w:r>
    </w:p>
    <w:p w14:paraId="0C8177B9" w14:textId="77777777" w:rsidR="009E564F" w:rsidRDefault="009E564F" w:rsidP="006D2DD0">
      <w:pPr>
        <w:rPr>
          <w:rFonts w:ascii="Arial" w:hAnsi="Arial" w:cs="Arial"/>
          <w:sz w:val="22"/>
          <w:szCs w:val="22"/>
        </w:rPr>
      </w:pPr>
    </w:p>
    <w:p w14:paraId="40C759CB" w14:textId="617FFAD6" w:rsidR="006D2DD0" w:rsidRDefault="006D2DD0" w:rsidP="006D2DD0">
      <w:pPr>
        <w:rPr>
          <w:rFonts w:ascii="Arial" w:hAnsi="Arial" w:cs="Arial"/>
          <w:sz w:val="22"/>
          <w:szCs w:val="22"/>
        </w:rPr>
      </w:pPr>
      <w:r w:rsidRPr="00242A37">
        <w:rPr>
          <w:rFonts w:ascii="Arial" w:hAnsi="Arial" w:cs="Arial"/>
          <w:sz w:val="22"/>
          <w:szCs w:val="22"/>
        </w:rPr>
        <w:t xml:space="preserve">Personal tax thresholds </w:t>
      </w:r>
      <w:r w:rsidR="009E564F">
        <w:rPr>
          <w:rFonts w:ascii="Arial" w:hAnsi="Arial" w:cs="Arial"/>
          <w:sz w:val="22"/>
          <w:szCs w:val="22"/>
        </w:rPr>
        <w:t xml:space="preserve">– </w:t>
      </w:r>
      <w:proofErr w:type="spellStart"/>
      <w:proofErr w:type="gramStart"/>
      <w:r w:rsidRPr="00242A37">
        <w:rPr>
          <w:rFonts w:ascii="Arial" w:hAnsi="Arial" w:cs="Arial"/>
          <w:sz w:val="22"/>
          <w:szCs w:val="22"/>
        </w:rPr>
        <w:t>ie</w:t>
      </w:r>
      <w:proofErr w:type="spellEnd"/>
      <w:proofErr w:type="gramEnd"/>
      <w:r w:rsidRPr="00242A37">
        <w:rPr>
          <w:rFonts w:ascii="Arial" w:hAnsi="Arial" w:cs="Arial"/>
          <w:sz w:val="22"/>
          <w:szCs w:val="22"/>
        </w:rPr>
        <w:t xml:space="preserve"> personal allowance, basic and higher rate thresholds for income tax </w:t>
      </w:r>
      <w:r w:rsidR="009E564F">
        <w:rPr>
          <w:rFonts w:ascii="Arial" w:hAnsi="Arial" w:cs="Arial"/>
          <w:sz w:val="22"/>
          <w:szCs w:val="22"/>
        </w:rPr>
        <w:t xml:space="preserve">– </w:t>
      </w:r>
      <w:r w:rsidRPr="00242A37">
        <w:rPr>
          <w:rFonts w:ascii="Arial" w:hAnsi="Arial" w:cs="Arial"/>
          <w:sz w:val="22"/>
          <w:szCs w:val="22"/>
        </w:rPr>
        <w:t>are maintained until April 2028 at a current level of £12,570 and £50,270.</w:t>
      </w:r>
    </w:p>
    <w:p w14:paraId="14AA0B91" w14:textId="77777777" w:rsidR="009E564F" w:rsidRPr="00242A37" w:rsidRDefault="009E564F" w:rsidP="006D2DD0">
      <w:pPr>
        <w:rPr>
          <w:rFonts w:ascii="Arial" w:hAnsi="Arial" w:cs="Arial"/>
          <w:sz w:val="22"/>
          <w:szCs w:val="22"/>
        </w:rPr>
      </w:pPr>
    </w:p>
    <w:p w14:paraId="3ACC94AB" w14:textId="05C6D3FD" w:rsidR="006D2DD0" w:rsidRPr="00242A37" w:rsidRDefault="006D2DD0" w:rsidP="006D2DD0">
      <w:pPr>
        <w:rPr>
          <w:rFonts w:ascii="Arial" w:hAnsi="Arial" w:cs="Arial"/>
          <w:sz w:val="22"/>
          <w:szCs w:val="22"/>
        </w:rPr>
      </w:pPr>
      <w:r w:rsidRPr="00242A37">
        <w:rPr>
          <w:rFonts w:ascii="Arial" w:hAnsi="Arial" w:cs="Arial"/>
          <w:sz w:val="22"/>
          <w:szCs w:val="22"/>
        </w:rPr>
        <w:t>Basic rate of income tax will be maintained at 20%. This was previously announced to be reduced to 19%</w:t>
      </w:r>
      <w:r w:rsidR="006F7DA7">
        <w:rPr>
          <w:rFonts w:ascii="Arial" w:hAnsi="Arial" w:cs="Arial"/>
          <w:sz w:val="22"/>
          <w:szCs w:val="22"/>
        </w:rPr>
        <w:t>,</w:t>
      </w:r>
      <w:r w:rsidRPr="00242A37">
        <w:rPr>
          <w:rFonts w:ascii="Arial" w:hAnsi="Arial" w:cs="Arial"/>
          <w:sz w:val="22"/>
          <w:szCs w:val="22"/>
        </w:rPr>
        <w:t xml:space="preserve"> which will not go ahead from 2023.</w:t>
      </w:r>
    </w:p>
    <w:p w14:paraId="26EFC6CD" w14:textId="77777777" w:rsidR="009E564F" w:rsidRDefault="009E564F" w:rsidP="006D2DD0">
      <w:pPr>
        <w:rPr>
          <w:rFonts w:ascii="Arial" w:hAnsi="Arial" w:cs="Arial"/>
          <w:sz w:val="22"/>
          <w:szCs w:val="22"/>
        </w:rPr>
      </w:pPr>
    </w:p>
    <w:p w14:paraId="5EE1D54F" w14:textId="643C007B" w:rsidR="00D46CBC" w:rsidRPr="00242A37" w:rsidRDefault="00D46CBC" w:rsidP="00D46CBC">
      <w:pPr>
        <w:rPr>
          <w:rFonts w:ascii="Arial" w:eastAsiaTheme="minorHAnsi" w:hAnsi="Arial" w:cs="Arial"/>
          <w:b/>
          <w:bCs/>
          <w:sz w:val="22"/>
          <w:szCs w:val="22"/>
        </w:rPr>
      </w:pPr>
      <w:r>
        <w:rPr>
          <w:rFonts w:ascii="Arial" w:eastAsiaTheme="minorHAnsi" w:hAnsi="Arial" w:cs="Arial"/>
          <w:b/>
          <w:bCs/>
          <w:sz w:val="22"/>
          <w:szCs w:val="22"/>
        </w:rPr>
        <w:t>Other income tax allowances</w:t>
      </w:r>
    </w:p>
    <w:p w14:paraId="5696E3F3" w14:textId="1B4C1662" w:rsidR="00D46CBC" w:rsidRPr="00D46CBC" w:rsidRDefault="00D46CBC" w:rsidP="00D46CBC">
      <w:pPr>
        <w:rPr>
          <w:rFonts w:ascii="Arial" w:hAnsi="Arial" w:cs="Arial"/>
          <w:sz w:val="22"/>
          <w:szCs w:val="22"/>
        </w:rPr>
      </w:pPr>
      <w:r w:rsidRPr="00D46CBC">
        <w:rPr>
          <w:rFonts w:ascii="Arial" w:hAnsi="Arial" w:cs="Arial"/>
          <w:sz w:val="22"/>
          <w:szCs w:val="22"/>
        </w:rPr>
        <w:t>Married Couple’s Allowance and Blind Person’s Allowance will be uplifted by 10.1%, from 6 April 2023</w:t>
      </w:r>
      <w:r w:rsidR="00944570">
        <w:rPr>
          <w:rFonts w:ascii="Arial" w:hAnsi="Arial" w:cs="Arial"/>
          <w:sz w:val="22"/>
          <w:szCs w:val="22"/>
        </w:rPr>
        <w:t>.</w:t>
      </w:r>
    </w:p>
    <w:p w14:paraId="53487EC0" w14:textId="77777777" w:rsidR="00CA3F40" w:rsidRPr="00D46CBC" w:rsidRDefault="00CA3F40" w:rsidP="007A2223">
      <w:pPr>
        <w:rPr>
          <w:rFonts w:ascii="Arial" w:hAnsi="Arial" w:cs="Arial"/>
          <w:sz w:val="22"/>
          <w:szCs w:val="22"/>
        </w:rPr>
      </w:pPr>
    </w:p>
    <w:p w14:paraId="5C77874D" w14:textId="2CD38576" w:rsidR="009B5FF5" w:rsidRPr="00242A37" w:rsidRDefault="009B5FF5" w:rsidP="007A2223">
      <w:pPr>
        <w:rPr>
          <w:rFonts w:ascii="Arial" w:hAnsi="Arial" w:cs="Arial"/>
          <w:b/>
          <w:bCs/>
          <w:sz w:val="22"/>
          <w:szCs w:val="22"/>
        </w:rPr>
      </w:pPr>
      <w:r w:rsidRPr="00242A37">
        <w:rPr>
          <w:rFonts w:ascii="Arial" w:hAnsi="Arial" w:cs="Arial"/>
          <w:b/>
          <w:bCs/>
          <w:sz w:val="22"/>
          <w:szCs w:val="22"/>
        </w:rPr>
        <w:lastRenderedPageBreak/>
        <w:t xml:space="preserve">National </w:t>
      </w:r>
      <w:r w:rsidR="009E564F">
        <w:rPr>
          <w:rFonts w:ascii="Arial" w:hAnsi="Arial" w:cs="Arial"/>
          <w:b/>
          <w:bCs/>
          <w:sz w:val="22"/>
          <w:szCs w:val="22"/>
        </w:rPr>
        <w:t>i</w:t>
      </w:r>
      <w:r w:rsidRPr="00242A37">
        <w:rPr>
          <w:rFonts w:ascii="Arial" w:hAnsi="Arial" w:cs="Arial"/>
          <w:b/>
          <w:bCs/>
          <w:sz w:val="22"/>
          <w:szCs w:val="22"/>
        </w:rPr>
        <w:t>nsurance</w:t>
      </w:r>
    </w:p>
    <w:p w14:paraId="4228417E" w14:textId="77B8ADD3" w:rsidR="003D255E" w:rsidRDefault="003D255E" w:rsidP="003D255E">
      <w:pPr>
        <w:rPr>
          <w:rFonts w:ascii="Arial" w:hAnsi="Arial" w:cs="Arial"/>
          <w:sz w:val="22"/>
          <w:szCs w:val="22"/>
        </w:rPr>
      </w:pPr>
      <w:r w:rsidRPr="00242A37">
        <w:rPr>
          <w:rFonts w:ascii="Arial" w:hAnsi="Arial" w:cs="Arial"/>
          <w:sz w:val="22"/>
          <w:szCs w:val="22"/>
        </w:rPr>
        <w:t xml:space="preserve">The national insurance thresholds for all classes will be maintained until April 2028 at </w:t>
      </w:r>
      <w:r w:rsidR="009E564F">
        <w:rPr>
          <w:rFonts w:ascii="Arial" w:hAnsi="Arial" w:cs="Arial"/>
          <w:sz w:val="22"/>
          <w:szCs w:val="22"/>
        </w:rPr>
        <w:t>the</w:t>
      </w:r>
      <w:r w:rsidRPr="00242A37">
        <w:rPr>
          <w:rFonts w:ascii="Arial" w:hAnsi="Arial" w:cs="Arial"/>
          <w:sz w:val="22"/>
          <w:szCs w:val="22"/>
        </w:rPr>
        <w:t xml:space="preserve"> current level. The government will fix the level at which employers start to pay Class 1 Secondary NICs for their employees (the Secondary Threshold) at £9,100 from April 2023 until April 2028. </w:t>
      </w:r>
    </w:p>
    <w:p w14:paraId="02F1740A" w14:textId="77777777" w:rsidR="009E564F" w:rsidRPr="00242A37" w:rsidRDefault="009E564F" w:rsidP="003D255E">
      <w:pPr>
        <w:rPr>
          <w:rFonts w:ascii="Arial" w:hAnsi="Arial" w:cs="Arial"/>
          <w:sz w:val="22"/>
          <w:szCs w:val="22"/>
        </w:rPr>
      </w:pPr>
    </w:p>
    <w:p w14:paraId="1D6547C2" w14:textId="6124EF2C" w:rsidR="003D255E" w:rsidRPr="00242A37" w:rsidRDefault="003D255E" w:rsidP="003D255E">
      <w:pPr>
        <w:rPr>
          <w:rFonts w:ascii="Arial" w:hAnsi="Arial" w:cs="Arial"/>
          <w:sz w:val="22"/>
          <w:szCs w:val="22"/>
        </w:rPr>
      </w:pPr>
      <w:r w:rsidRPr="00242A37">
        <w:rPr>
          <w:rFonts w:ascii="Arial" w:hAnsi="Arial" w:cs="Arial"/>
          <w:sz w:val="22"/>
          <w:szCs w:val="22"/>
        </w:rPr>
        <w:t xml:space="preserve">The employment allowance is set to </w:t>
      </w:r>
      <w:r w:rsidR="009E564F">
        <w:rPr>
          <w:rFonts w:ascii="Arial" w:hAnsi="Arial" w:cs="Arial"/>
          <w:sz w:val="22"/>
          <w:szCs w:val="22"/>
        </w:rPr>
        <w:t xml:space="preserve">the </w:t>
      </w:r>
      <w:r w:rsidRPr="00242A37">
        <w:rPr>
          <w:rFonts w:ascii="Arial" w:hAnsi="Arial" w:cs="Arial"/>
          <w:sz w:val="22"/>
          <w:szCs w:val="22"/>
        </w:rPr>
        <w:t xml:space="preserve">current level of £5,000. </w:t>
      </w:r>
    </w:p>
    <w:p w14:paraId="26463E67" w14:textId="77777777" w:rsidR="009E564F" w:rsidRDefault="009E564F" w:rsidP="003D255E">
      <w:pPr>
        <w:rPr>
          <w:rFonts w:ascii="Arial" w:hAnsi="Arial" w:cs="Arial"/>
          <w:sz w:val="22"/>
          <w:szCs w:val="22"/>
        </w:rPr>
      </w:pPr>
    </w:p>
    <w:p w14:paraId="7F12F7BE" w14:textId="0A0BDA41" w:rsidR="003D255E" w:rsidRPr="00242A37" w:rsidRDefault="003D255E" w:rsidP="003D255E">
      <w:pPr>
        <w:rPr>
          <w:rFonts w:ascii="Arial" w:hAnsi="Arial" w:cs="Arial"/>
          <w:sz w:val="22"/>
          <w:szCs w:val="22"/>
        </w:rPr>
      </w:pPr>
      <w:r w:rsidRPr="00242A37">
        <w:rPr>
          <w:rFonts w:ascii="Arial" w:hAnsi="Arial" w:cs="Arial"/>
          <w:sz w:val="22"/>
          <w:szCs w:val="22"/>
        </w:rPr>
        <w:t>The temporary 1.25</w:t>
      </w:r>
      <w:r w:rsidR="006F7DA7">
        <w:rPr>
          <w:rFonts w:ascii="Arial" w:hAnsi="Arial" w:cs="Arial"/>
          <w:sz w:val="22"/>
          <w:szCs w:val="22"/>
        </w:rPr>
        <w:t>%</w:t>
      </w:r>
      <w:r w:rsidRPr="00242A37">
        <w:rPr>
          <w:rFonts w:ascii="Arial" w:hAnsi="Arial" w:cs="Arial"/>
          <w:sz w:val="22"/>
          <w:szCs w:val="22"/>
        </w:rPr>
        <w:t xml:space="preserve"> increase from 6 April 2022 in </w:t>
      </w:r>
      <w:r w:rsidR="009E564F">
        <w:rPr>
          <w:rFonts w:ascii="Arial" w:hAnsi="Arial" w:cs="Arial"/>
          <w:sz w:val="22"/>
          <w:szCs w:val="22"/>
        </w:rPr>
        <w:t>n</w:t>
      </w:r>
      <w:r w:rsidRPr="00242A37">
        <w:rPr>
          <w:rFonts w:ascii="Arial" w:hAnsi="Arial" w:cs="Arial"/>
          <w:sz w:val="22"/>
          <w:szCs w:val="22"/>
        </w:rPr>
        <w:t xml:space="preserve">ational </w:t>
      </w:r>
      <w:r w:rsidR="009E564F">
        <w:rPr>
          <w:rFonts w:ascii="Arial" w:hAnsi="Arial" w:cs="Arial"/>
          <w:sz w:val="22"/>
          <w:szCs w:val="22"/>
        </w:rPr>
        <w:t>i</w:t>
      </w:r>
      <w:r w:rsidRPr="00242A37">
        <w:rPr>
          <w:rFonts w:ascii="Arial" w:hAnsi="Arial" w:cs="Arial"/>
          <w:sz w:val="22"/>
          <w:szCs w:val="22"/>
        </w:rPr>
        <w:t>nsurance rates has been abandoned from 6 November 2022.</w:t>
      </w:r>
      <w:r w:rsidR="00DB48AC">
        <w:rPr>
          <w:rFonts w:ascii="Arial" w:hAnsi="Arial" w:cs="Arial"/>
          <w:sz w:val="22"/>
          <w:szCs w:val="22"/>
        </w:rPr>
        <w:t xml:space="preserve"> </w:t>
      </w:r>
      <w:r w:rsidRPr="00242A37">
        <w:rPr>
          <w:rFonts w:ascii="Arial" w:hAnsi="Arial" w:cs="Arial"/>
          <w:sz w:val="22"/>
          <w:szCs w:val="22"/>
        </w:rPr>
        <w:t xml:space="preserve">The Health and Social Care Levy is no longer going ahead. The introduction of a separate Health and Social Care Levy tax in April 2023 has been cancelled too. </w:t>
      </w:r>
    </w:p>
    <w:p w14:paraId="47CEAB37" w14:textId="77777777" w:rsidR="009230AE" w:rsidRPr="00D11401" w:rsidRDefault="009230AE" w:rsidP="009230AE">
      <w:pPr>
        <w:rPr>
          <w:rFonts w:ascii="Arial" w:hAnsi="Arial" w:cs="Arial"/>
          <w:sz w:val="20"/>
          <w:szCs w:val="20"/>
          <w:lang w:val="en-US"/>
        </w:rPr>
      </w:pPr>
    </w:p>
    <w:tbl>
      <w:tblPr>
        <w:tblW w:w="10159" w:type="dxa"/>
        <w:tblLayout w:type="fixed"/>
        <w:tblLook w:val="04A0" w:firstRow="1" w:lastRow="0" w:firstColumn="1" w:lastColumn="0" w:noHBand="0" w:noVBand="1"/>
      </w:tblPr>
      <w:tblGrid>
        <w:gridCol w:w="6527"/>
        <w:gridCol w:w="1886"/>
        <w:gridCol w:w="1746"/>
      </w:tblGrid>
      <w:tr w:rsidR="009230AE" w:rsidRPr="00D11401" w14:paraId="24246F96"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shd w:val="clear" w:color="auto" w:fill="C7C7C7"/>
            <w:noWrap/>
            <w:hideMark/>
          </w:tcPr>
          <w:p w14:paraId="5E8B4940" w14:textId="77777777" w:rsidR="009230AE" w:rsidRPr="00D11401" w:rsidRDefault="009230AE" w:rsidP="001955DD">
            <w:pPr>
              <w:spacing w:after="200" w:line="276" w:lineRule="auto"/>
              <w:rPr>
                <w:rFonts w:ascii="Arial" w:eastAsia="Calibri" w:hAnsi="Arial" w:cs="Arial"/>
                <w:b/>
                <w:bCs/>
                <w:sz w:val="20"/>
                <w:szCs w:val="20"/>
              </w:rPr>
            </w:pPr>
            <w:r w:rsidRPr="00D11401">
              <w:rPr>
                <w:rFonts w:ascii="Arial" w:eastAsia="Calibri" w:hAnsi="Arial" w:cs="Arial"/>
                <w:b/>
                <w:bCs/>
                <w:sz w:val="20"/>
                <w:szCs w:val="20"/>
              </w:rPr>
              <w:t>National insurance</w:t>
            </w:r>
          </w:p>
        </w:tc>
        <w:tc>
          <w:tcPr>
            <w:tcW w:w="1886" w:type="dxa"/>
            <w:tcBorders>
              <w:top w:val="single" w:sz="4" w:space="0" w:color="auto"/>
              <w:left w:val="single" w:sz="4" w:space="0" w:color="auto"/>
              <w:bottom w:val="single" w:sz="4" w:space="0" w:color="auto"/>
              <w:right w:val="single" w:sz="4" w:space="0" w:color="auto"/>
            </w:tcBorders>
            <w:shd w:val="clear" w:color="auto" w:fill="C7C7C7"/>
            <w:noWrap/>
            <w:hideMark/>
          </w:tcPr>
          <w:p w14:paraId="20860826" w14:textId="77777777" w:rsidR="009230AE" w:rsidRPr="00D11401" w:rsidRDefault="009230AE" w:rsidP="001955DD">
            <w:pPr>
              <w:spacing w:after="200" w:line="276" w:lineRule="auto"/>
              <w:jc w:val="right"/>
              <w:rPr>
                <w:rFonts w:ascii="Arial" w:eastAsia="Calibri" w:hAnsi="Arial" w:cs="Arial"/>
                <w:b/>
                <w:bCs/>
                <w:sz w:val="20"/>
                <w:szCs w:val="20"/>
              </w:rPr>
            </w:pPr>
            <w:r w:rsidRPr="00D11401">
              <w:rPr>
                <w:rFonts w:ascii="Arial" w:eastAsia="Calibri" w:hAnsi="Arial" w:cs="Arial"/>
                <w:b/>
                <w:bCs/>
                <w:sz w:val="20"/>
                <w:szCs w:val="20"/>
              </w:rPr>
              <w:t>2023/24</w:t>
            </w:r>
          </w:p>
        </w:tc>
        <w:tc>
          <w:tcPr>
            <w:tcW w:w="1746" w:type="dxa"/>
            <w:tcBorders>
              <w:top w:val="single" w:sz="4" w:space="0" w:color="auto"/>
              <w:left w:val="single" w:sz="4" w:space="0" w:color="auto"/>
              <w:bottom w:val="single" w:sz="4" w:space="0" w:color="auto"/>
              <w:right w:val="single" w:sz="4" w:space="0" w:color="auto"/>
            </w:tcBorders>
            <w:shd w:val="clear" w:color="auto" w:fill="C7C7C7"/>
            <w:noWrap/>
            <w:hideMark/>
          </w:tcPr>
          <w:p w14:paraId="50F362DC" w14:textId="77777777" w:rsidR="009230AE" w:rsidRPr="00D11401" w:rsidRDefault="009230AE" w:rsidP="001955DD">
            <w:pPr>
              <w:spacing w:after="200" w:line="276" w:lineRule="auto"/>
              <w:jc w:val="right"/>
              <w:rPr>
                <w:rFonts w:ascii="Arial" w:eastAsia="Calibri" w:hAnsi="Arial" w:cs="Arial"/>
                <w:b/>
                <w:bCs/>
                <w:sz w:val="20"/>
                <w:szCs w:val="20"/>
              </w:rPr>
            </w:pPr>
            <w:r w:rsidRPr="00D11401">
              <w:rPr>
                <w:rFonts w:ascii="Arial" w:eastAsia="Calibri" w:hAnsi="Arial" w:cs="Arial"/>
                <w:b/>
                <w:bCs/>
                <w:sz w:val="20"/>
                <w:szCs w:val="20"/>
              </w:rPr>
              <w:t>2022/23</w:t>
            </w:r>
          </w:p>
        </w:tc>
      </w:tr>
      <w:tr w:rsidR="009230AE" w:rsidRPr="00D11401" w14:paraId="3D56A5B7"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24D982EB"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Lower earnings limit, primary class 1 (per week)</w:t>
            </w:r>
          </w:p>
        </w:tc>
        <w:tc>
          <w:tcPr>
            <w:tcW w:w="1886" w:type="dxa"/>
            <w:tcBorders>
              <w:top w:val="single" w:sz="4" w:space="0" w:color="auto"/>
              <w:left w:val="single" w:sz="4" w:space="0" w:color="auto"/>
              <w:bottom w:val="single" w:sz="4" w:space="0" w:color="auto"/>
              <w:right w:val="single" w:sz="4" w:space="0" w:color="auto"/>
            </w:tcBorders>
            <w:noWrap/>
            <w:hideMark/>
          </w:tcPr>
          <w:p w14:paraId="47803867"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£123</w:t>
            </w:r>
          </w:p>
        </w:tc>
        <w:tc>
          <w:tcPr>
            <w:tcW w:w="1746" w:type="dxa"/>
            <w:tcBorders>
              <w:top w:val="single" w:sz="4" w:space="0" w:color="auto"/>
              <w:left w:val="single" w:sz="4" w:space="0" w:color="auto"/>
              <w:bottom w:val="single" w:sz="4" w:space="0" w:color="auto"/>
              <w:right w:val="single" w:sz="4" w:space="0" w:color="auto"/>
            </w:tcBorders>
            <w:noWrap/>
            <w:hideMark/>
          </w:tcPr>
          <w:p w14:paraId="1D00A8C1"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£123</w:t>
            </w:r>
          </w:p>
        </w:tc>
      </w:tr>
      <w:tr w:rsidR="009230AE" w:rsidRPr="00D11401" w14:paraId="522BD9C0"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402040C3"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Upper earnings limit, primary class 1 (per week)</w:t>
            </w:r>
          </w:p>
        </w:tc>
        <w:tc>
          <w:tcPr>
            <w:tcW w:w="1886" w:type="dxa"/>
            <w:tcBorders>
              <w:top w:val="single" w:sz="4" w:space="0" w:color="auto"/>
              <w:left w:val="single" w:sz="4" w:space="0" w:color="auto"/>
              <w:bottom w:val="single" w:sz="4" w:space="0" w:color="auto"/>
              <w:right w:val="single" w:sz="4" w:space="0" w:color="auto"/>
            </w:tcBorders>
            <w:noWrap/>
            <w:hideMark/>
          </w:tcPr>
          <w:p w14:paraId="3061462B"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£967</w:t>
            </w:r>
          </w:p>
        </w:tc>
        <w:tc>
          <w:tcPr>
            <w:tcW w:w="1746" w:type="dxa"/>
            <w:tcBorders>
              <w:top w:val="single" w:sz="4" w:space="0" w:color="auto"/>
              <w:left w:val="single" w:sz="4" w:space="0" w:color="auto"/>
              <w:bottom w:val="single" w:sz="4" w:space="0" w:color="auto"/>
              <w:right w:val="single" w:sz="4" w:space="0" w:color="auto"/>
            </w:tcBorders>
            <w:noWrap/>
            <w:hideMark/>
          </w:tcPr>
          <w:p w14:paraId="1ECDA47C"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£967</w:t>
            </w:r>
          </w:p>
        </w:tc>
      </w:tr>
      <w:tr w:rsidR="009230AE" w:rsidRPr="00D11401" w14:paraId="4A5E2185"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774D7722"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Apprentice upper secondary threshold (AUST) for under 21s/25s</w:t>
            </w:r>
          </w:p>
        </w:tc>
        <w:tc>
          <w:tcPr>
            <w:tcW w:w="1886" w:type="dxa"/>
            <w:tcBorders>
              <w:top w:val="single" w:sz="4" w:space="0" w:color="auto"/>
              <w:left w:val="single" w:sz="4" w:space="0" w:color="auto"/>
              <w:bottom w:val="single" w:sz="4" w:space="0" w:color="auto"/>
              <w:right w:val="single" w:sz="4" w:space="0" w:color="auto"/>
            </w:tcBorders>
            <w:noWrap/>
            <w:hideMark/>
          </w:tcPr>
          <w:p w14:paraId="71E05221"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£967</w:t>
            </w:r>
          </w:p>
        </w:tc>
        <w:tc>
          <w:tcPr>
            <w:tcW w:w="1746" w:type="dxa"/>
            <w:tcBorders>
              <w:top w:val="single" w:sz="4" w:space="0" w:color="auto"/>
              <w:left w:val="single" w:sz="4" w:space="0" w:color="auto"/>
              <w:bottom w:val="single" w:sz="4" w:space="0" w:color="auto"/>
              <w:right w:val="single" w:sz="4" w:space="0" w:color="auto"/>
            </w:tcBorders>
            <w:noWrap/>
            <w:hideMark/>
          </w:tcPr>
          <w:p w14:paraId="45BBA2B7"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£967</w:t>
            </w:r>
          </w:p>
        </w:tc>
      </w:tr>
      <w:tr w:rsidR="009230AE" w:rsidRPr="00D11401" w14:paraId="3A99F42C"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1838B965"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Primary threshold (per week)</w:t>
            </w:r>
          </w:p>
          <w:p w14:paraId="532D1582"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April 2022 to 5 July 2022</w:t>
            </w:r>
          </w:p>
          <w:p w14:paraId="039EF073"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July 2022 to 5 April 2023</w:t>
            </w:r>
          </w:p>
          <w:p w14:paraId="037B258D" w14:textId="77777777" w:rsidR="009230AE" w:rsidRPr="00D11401" w:rsidRDefault="009230AE" w:rsidP="001955DD">
            <w:pPr>
              <w:pStyle w:val="NoSpacing"/>
              <w:rPr>
                <w:rFonts w:ascii="Arial"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noWrap/>
            <w:hideMark/>
          </w:tcPr>
          <w:p w14:paraId="265C476C"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£242</w:t>
            </w:r>
          </w:p>
          <w:p w14:paraId="3D2CD2BA" w14:textId="77777777" w:rsidR="009230AE" w:rsidRPr="00D11401" w:rsidRDefault="009230AE" w:rsidP="001955DD">
            <w:pPr>
              <w:pStyle w:val="NoSpacing"/>
              <w:jc w:val="right"/>
              <w:rPr>
                <w:rFonts w:ascii="Arial" w:hAnsi="Arial" w:cs="Arial"/>
                <w:sz w:val="20"/>
                <w:szCs w:val="20"/>
              </w:rPr>
            </w:pPr>
          </w:p>
          <w:p w14:paraId="7B9CF0E6" w14:textId="77777777" w:rsidR="009230AE" w:rsidRPr="00D11401" w:rsidRDefault="009230AE" w:rsidP="001955DD">
            <w:pPr>
              <w:pStyle w:val="NoSpacing"/>
              <w:jc w:val="right"/>
              <w:rPr>
                <w:rFonts w:ascii="Arial" w:hAnsi="Arial" w:cs="Arial"/>
                <w:sz w:val="20"/>
                <w:szCs w:val="20"/>
              </w:rPr>
            </w:pPr>
          </w:p>
        </w:tc>
        <w:tc>
          <w:tcPr>
            <w:tcW w:w="1746" w:type="dxa"/>
            <w:tcBorders>
              <w:top w:val="single" w:sz="4" w:space="0" w:color="auto"/>
              <w:left w:val="single" w:sz="4" w:space="0" w:color="auto"/>
              <w:bottom w:val="single" w:sz="4" w:space="0" w:color="auto"/>
              <w:right w:val="single" w:sz="4" w:space="0" w:color="auto"/>
            </w:tcBorders>
            <w:noWrap/>
            <w:hideMark/>
          </w:tcPr>
          <w:p w14:paraId="4ED2A4C2" w14:textId="77777777" w:rsidR="009230AE" w:rsidRPr="00D11401" w:rsidRDefault="009230AE" w:rsidP="001955DD">
            <w:pPr>
              <w:pStyle w:val="NoSpacing"/>
              <w:jc w:val="right"/>
              <w:rPr>
                <w:rFonts w:ascii="Arial" w:hAnsi="Arial" w:cs="Arial"/>
                <w:sz w:val="20"/>
                <w:szCs w:val="20"/>
              </w:rPr>
            </w:pPr>
          </w:p>
          <w:p w14:paraId="02079467"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£190</w:t>
            </w:r>
          </w:p>
          <w:p w14:paraId="77D4D26F"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£242</w:t>
            </w:r>
          </w:p>
        </w:tc>
      </w:tr>
      <w:tr w:rsidR="009230AE" w:rsidRPr="00D11401" w14:paraId="7B22B7CC"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3F391287"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Secondary threshold (per week)</w:t>
            </w:r>
          </w:p>
        </w:tc>
        <w:tc>
          <w:tcPr>
            <w:tcW w:w="1886" w:type="dxa"/>
            <w:tcBorders>
              <w:top w:val="single" w:sz="4" w:space="0" w:color="auto"/>
              <w:left w:val="single" w:sz="4" w:space="0" w:color="auto"/>
              <w:bottom w:val="single" w:sz="4" w:space="0" w:color="auto"/>
              <w:right w:val="single" w:sz="4" w:space="0" w:color="auto"/>
            </w:tcBorders>
            <w:noWrap/>
            <w:hideMark/>
          </w:tcPr>
          <w:p w14:paraId="0B889705"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£175</w:t>
            </w:r>
          </w:p>
        </w:tc>
        <w:tc>
          <w:tcPr>
            <w:tcW w:w="1746" w:type="dxa"/>
            <w:tcBorders>
              <w:top w:val="single" w:sz="4" w:space="0" w:color="auto"/>
              <w:left w:val="single" w:sz="4" w:space="0" w:color="auto"/>
              <w:bottom w:val="single" w:sz="4" w:space="0" w:color="auto"/>
              <w:right w:val="single" w:sz="4" w:space="0" w:color="auto"/>
            </w:tcBorders>
            <w:noWrap/>
            <w:hideMark/>
          </w:tcPr>
          <w:p w14:paraId="1216435B"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£175</w:t>
            </w:r>
          </w:p>
        </w:tc>
      </w:tr>
      <w:tr w:rsidR="009230AE" w:rsidRPr="00D11401" w14:paraId="6372A5DB"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7DF200B8" w14:textId="77777777" w:rsidR="009230AE" w:rsidRPr="00D11401" w:rsidRDefault="009230AE" w:rsidP="001955DD">
            <w:pPr>
              <w:spacing w:after="200" w:line="276" w:lineRule="auto"/>
              <w:rPr>
                <w:rFonts w:ascii="Arial" w:eastAsia="Calibri" w:hAnsi="Arial" w:cs="Arial"/>
                <w:sz w:val="20"/>
                <w:szCs w:val="20"/>
                <w:highlight w:val="green"/>
              </w:rPr>
            </w:pPr>
            <w:r w:rsidRPr="00D11401">
              <w:rPr>
                <w:rFonts w:ascii="Arial" w:eastAsia="Calibri" w:hAnsi="Arial" w:cs="Arial"/>
                <w:sz w:val="20"/>
                <w:szCs w:val="20"/>
              </w:rPr>
              <w:t>Employment allowance (per year/employer)</w:t>
            </w:r>
          </w:p>
        </w:tc>
        <w:tc>
          <w:tcPr>
            <w:tcW w:w="1886" w:type="dxa"/>
            <w:tcBorders>
              <w:top w:val="single" w:sz="4" w:space="0" w:color="auto"/>
              <w:left w:val="single" w:sz="4" w:space="0" w:color="auto"/>
              <w:bottom w:val="single" w:sz="4" w:space="0" w:color="auto"/>
              <w:right w:val="single" w:sz="4" w:space="0" w:color="auto"/>
            </w:tcBorders>
            <w:noWrap/>
            <w:hideMark/>
          </w:tcPr>
          <w:p w14:paraId="48129D89"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£5,000</w:t>
            </w:r>
          </w:p>
        </w:tc>
        <w:tc>
          <w:tcPr>
            <w:tcW w:w="1746" w:type="dxa"/>
            <w:tcBorders>
              <w:top w:val="single" w:sz="4" w:space="0" w:color="auto"/>
              <w:left w:val="single" w:sz="4" w:space="0" w:color="auto"/>
              <w:bottom w:val="single" w:sz="4" w:space="0" w:color="auto"/>
              <w:right w:val="single" w:sz="4" w:space="0" w:color="auto"/>
            </w:tcBorders>
            <w:noWrap/>
            <w:hideMark/>
          </w:tcPr>
          <w:p w14:paraId="0D327301"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£5,000</w:t>
            </w:r>
          </w:p>
        </w:tc>
      </w:tr>
      <w:tr w:rsidR="009230AE" w:rsidRPr="00D11401" w14:paraId="04699FB0"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4051C11D" w14:textId="77777777" w:rsidR="009230AE" w:rsidRPr="00D11401" w:rsidRDefault="009230AE" w:rsidP="001955DD">
            <w:pPr>
              <w:pStyle w:val="NoSpacing"/>
              <w:jc w:val="both"/>
              <w:rPr>
                <w:rFonts w:ascii="Arial" w:hAnsi="Arial" w:cs="Arial"/>
                <w:sz w:val="20"/>
                <w:szCs w:val="20"/>
              </w:rPr>
            </w:pPr>
            <w:r w:rsidRPr="00D11401">
              <w:rPr>
                <w:rFonts w:ascii="Arial" w:hAnsi="Arial" w:cs="Arial"/>
                <w:sz w:val="20"/>
                <w:szCs w:val="20"/>
              </w:rPr>
              <w:t>Employee’s primary class 1 rate between primary threshold and upper earnings limit (note 9)</w:t>
            </w:r>
          </w:p>
          <w:p w14:paraId="1B6A475C" w14:textId="77777777" w:rsidR="009230AE" w:rsidRPr="00D11401" w:rsidRDefault="009230AE" w:rsidP="001955DD">
            <w:pPr>
              <w:pStyle w:val="NoSpacing"/>
              <w:jc w:val="both"/>
              <w:rPr>
                <w:rFonts w:ascii="Arial" w:hAnsi="Arial" w:cs="Arial"/>
                <w:sz w:val="20"/>
                <w:szCs w:val="20"/>
              </w:rPr>
            </w:pPr>
            <w:r w:rsidRPr="00D11401">
              <w:rPr>
                <w:rFonts w:ascii="Arial" w:hAnsi="Arial" w:cs="Arial"/>
                <w:sz w:val="20"/>
                <w:szCs w:val="20"/>
              </w:rPr>
              <w:t>From 6 April 2022 to 5 November 2022</w:t>
            </w:r>
          </w:p>
          <w:p w14:paraId="57405562" w14:textId="77777777" w:rsidR="009230AE" w:rsidRPr="00D11401" w:rsidRDefault="009230AE" w:rsidP="001955DD">
            <w:pPr>
              <w:pStyle w:val="NoSpacing"/>
              <w:jc w:val="both"/>
              <w:rPr>
                <w:rFonts w:ascii="Arial" w:hAnsi="Arial" w:cs="Arial"/>
                <w:sz w:val="20"/>
                <w:szCs w:val="20"/>
              </w:rPr>
            </w:pPr>
            <w:r w:rsidRPr="00D11401">
              <w:rPr>
                <w:rFonts w:ascii="Arial" w:hAnsi="Arial" w:cs="Arial"/>
                <w:sz w:val="20"/>
                <w:szCs w:val="20"/>
              </w:rPr>
              <w:t>From 6 November 2022 to 5 April 2023</w:t>
            </w:r>
          </w:p>
          <w:p w14:paraId="5A187CF2" w14:textId="77777777" w:rsidR="009230AE" w:rsidRPr="00D11401" w:rsidRDefault="009230AE" w:rsidP="001955DD">
            <w:pPr>
              <w:pStyle w:val="NoSpacing"/>
              <w:jc w:val="both"/>
              <w:rPr>
                <w:rFonts w:ascii="Arial"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noWrap/>
            <w:hideMark/>
          </w:tcPr>
          <w:p w14:paraId="787E42C7"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12%</w:t>
            </w:r>
          </w:p>
          <w:p w14:paraId="1ED4B798" w14:textId="77777777" w:rsidR="009230AE" w:rsidRPr="00D11401" w:rsidRDefault="009230AE" w:rsidP="001955DD">
            <w:pPr>
              <w:pStyle w:val="NoSpacing"/>
              <w:jc w:val="right"/>
              <w:rPr>
                <w:rFonts w:ascii="Arial" w:hAnsi="Arial" w:cs="Arial"/>
                <w:sz w:val="20"/>
                <w:szCs w:val="20"/>
              </w:rPr>
            </w:pPr>
          </w:p>
        </w:tc>
        <w:tc>
          <w:tcPr>
            <w:tcW w:w="1746" w:type="dxa"/>
            <w:tcBorders>
              <w:top w:val="single" w:sz="4" w:space="0" w:color="auto"/>
              <w:left w:val="single" w:sz="4" w:space="0" w:color="auto"/>
              <w:bottom w:val="single" w:sz="4" w:space="0" w:color="auto"/>
              <w:right w:val="single" w:sz="4" w:space="0" w:color="auto"/>
            </w:tcBorders>
            <w:noWrap/>
            <w:hideMark/>
          </w:tcPr>
          <w:p w14:paraId="6193F9E4" w14:textId="77777777" w:rsidR="009230AE" w:rsidRPr="00D11401" w:rsidRDefault="009230AE" w:rsidP="001955DD">
            <w:pPr>
              <w:pStyle w:val="NoSpacing"/>
              <w:jc w:val="right"/>
              <w:rPr>
                <w:rFonts w:ascii="Arial" w:hAnsi="Arial" w:cs="Arial"/>
                <w:sz w:val="20"/>
                <w:szCs w:val="20"/>
              </w:rPr>
            </w:pPr>
          </w:p>
          <w:p w14:paraId="04E67819" w14:textId="77777777" w:rsidR="009230AE" w:rsidRPr="00D11401" w:rsidRDefault="009230AE" w:rsidP="001955DD">
            <w:pPr>
              <w:pStyle w:val="NoSpacing"/>
              <w:jc w:val="right"/>
              <w:rPr>
                <w:rFonts w:ascii="Arial" w:hAnsi="Arial" w:cs="Arial"/>
                <w:sz w:val="20"/>
                <w:szCs w:val="20"/>
              </w:rPr>
            </w:pPr>
          </w:p>
          <w:p w14:paraId="189A0983"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13.25%</w:t>
            </w:r>
          </w:p>
          <w:p w14:paraId="686BA36E"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12%</w:t>
            </w:r>
          </w:p>
        </w:tc>
      </w:tr>
      <w:tr w:rsidR="009230AE" w:rsidRPr="00D11401" w14:paraId="28663E69"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631FC58D"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 xml:space="preserve">Employee’s primary class 1 rate above upper earnings limit </w:t>
            </w:r>
          </w:p>
          <w:p w14:paraId="54EAAF47"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April 2022 to 5 November 2022</w:t>
            </w:r>
          </w:p>
          <w:p w14:paraId="4A5316B3"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November 2022 to 5 April 2023</w:t>
            </w:r>
          </w:p>
        </w:tc>
        <w:tc>
          <w:tcPr>
            <w:tcW w:w="1886" w:type="dxa"/>
            <w:tcBorders>
              <w:top w:val="single" w:sz="4" w:space="0" w:color="auto"/>
              <w:left w:val="single" w:sz="4" w:space="0" w:color="auto"/>
              <w:bottom w:val="single" w:sz="4" w:space="0" w:color="auto"/>
              <w:right w:val="single" w:sz="4" w:space="0" w:color="auto"/>
            </w:tcBorders>
            <w:noWrap/>
            <w:hideMark/>
          </w:tcPr>
          <w:p w14:paraId="709ABE0C"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w:t>
            </w:r>
          </w:p>
          <w:p w14:paraId="7B79B736" w14:textId="77777777" w:rsidR="009230AE" w:rsidRPr="00D11401" w:rsidRDefault="009230AE" w:rsidP="001955DD">
            <w:pPr>
              <w:pStyle w:val="NoSpacing"/>
              <w:jc w:val="right"/>
              <w:rPr>
                <w:rFonts w:ascii="Arial" w:hAnsi="Arial" w:cs="Arial"/>
                <w:sz w:val="20"/>
                <w:szCs w:val="20"/>
              </w:rPr>
            </w:pPr>
          </w:p>
          <w:p w14:paraId="07767F58" w14:textId="77777777" w:rsidR="009230AE" w:rsidRPr="00D11401" w:rsidRDefault="009230AE" w:rsidP="001955DD">
            <w:pPr>
              <w:pStyle w:val="NoSpacing"/>
              <w:jc w:val="right"/>
              <w:rPr>
                <w:rFonts w:ascii="Arial" w:hAnsi="Arial" w:cs="Arial"/>
                <w:sz w:val="20"/>
                <w:szCs w:val="20"/>
              </w:rPr>
            </w:pPr>
          </w:p>
        </w:tc>
        <w:tc>
          <w:tcPr>
            <w:tcW w:w="1746" w:type="dxa"/>
            <w:tcBorders>
              <w:top w:val="single" w:sz="4" w:space="0" w:color="auto"/>
              <w:left w:val="single" w:sz="4" w:space="0" w:color="auto"/>
              <w:bottom w:val="single" w:sz="4" w:space="0" w:color="auto"/>
              <w:right w:val="single" w:sz="4" w:space="0" w:color="auto"/>
            </w:tcBorders>
            <w:noWrap/>
            <w:hideMark/>
          </w:tcPr>
          <w:p w14:paraId="67FFF5A9" w14:textId="77777777" w:rsidR="009230AE" w:rsidRPr="00D11401" w:rsidRDefault="009230AE" w:rsidP="001955DD">
            <w:pPr>
              <w:pStyle w:val="NoSpacing"/>
              <w:jc w:val="right"/>
              <w:rPr>
                <w:rFonts w:ascii="Arial" w:hAnsi="Arial" w:cs="Arial"/>
                <w:sz w:val="20"/>
                <w:szCs w:val="20"/>
              </w:rPr>
            </w:pPr>
          </w:p>
          <w:p w14:paraId="6180320E"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3.25%</w:t>
            </w:r>
          </w:p>
          <w:p w14:paraId="0E0D1EE0"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w:t>
            </w:r>
          </w:p>
        </w:tc>
      </w:tr>
      <w:tr w:rsidR="009230AE" w:rsidRPr="00D11401" w14:paraId="1B91A984"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7574FD1C"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Married woman’s reduced rate between primary threshold and upper earnings limit</w:t>
            </w:r>
          </w:p>
          <w:p w14:paraId="241F1981"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April 2022 to 5 November 2022</w:t>
            </w:r>
          </w:p>
          <w:p w14:paraId="582226EE"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November 2022 to 5 April 2023</w:t>
            </w:r>
          </w:p>
        </w:tc>
        <w:tc>
          <w:tcPr>
            <w:tcW w:w="1886" w:type="dxa"/>
            <w:tcBorders>
              <w:top w:val="single" w:sz="4" w:space="0" w:color="auto"/>
              <w:left w:val="single" w:sz="4" w:space="0" w:color="auto"/>
              <w:bottom w:val="single" w:sz="4" w:space="0" w:color="auto"/>
              <w:right w:val="single" w:sz="4" w:space="0" w:color="auto"/>
            </w:tcBorders>
            <w:noWrap/>
            <w:hideMark/>
          </w:tcPr>
          <w:p w14:paraId="313C53BA"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5.85%</w:t>
            </w:r>
          </w:p>
        </w:tc>
        <w:tc>
          <w:tcPr>
            <w:tcW w:w="1746" w:type="dxa"/>
            <w:tcBorders>
              <w:top w:val="single" w:sz="4" w:space="0" w:color="auto"/>
              <w:left w:val="single" w:sz="4" w:space="0" w:color="auto"/>
              <w:bottom w:val="single" w:sz="4" w:space="0" w:color="auto"/>
              <w:right w:val="single" w:sz="4" w:space="0" w:color="auto"/>
            </w:tcBorders>
            <w:noWrap/>
            <w:hideMark/>
          </w:tcPr>
          <w:p w14:paraId="7264C32F" w14:textId="77777777" w:rsidR="009230AE" w:rsidRPr="00D11401" w:rsidRDefault="009230AE" w:rsidP="001955DD">
            <w:pPr>
              <w:pStyle w:val="NoSpacing"/>
              <w:jc w:val="right"/>
              <w:rPr>
                <w:rFonts w:ascii="Arial" w:hAnsi="Arial" w:cs="Arial"/>
                <w:sz w:val="20"/>
                <w:szCs w:val="20"/>
              </w:rPr>
            </w:pPr>
          </w:p>
          <w:p w14:paraId="1EA0E041" w14:textId="77777777" w:rsidR="009230AE" w:rsidRPr="00D11401" w:rsidRDefault="009230AE" w:rsidP="001955DD">
            <w:pPr>
              <w:pStyle w:val="NoSpacing"/>
              <w:jc w:val="right"/>
              <w:rPr>
                <w:rFonts w:ascii="Arial" w:hAnsi="Arial" w:cs="Arial"/>
                <w:sz w:val="20"/>
                <w:szCs w:val="20"/>
              </w:rPr>
            </w:pPr>
          </w:p>
          <w:p w14:paraId="1CC7F2F6"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7.1%</w:t>
            </w:r>
          </w:p>
          <w:p w14:paraId="3DC07693"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5.85%</w:t>
            </w:r>
          </w:p>
        </w:tc>
      </w:tr>
      <w:tr w:rsidR="009230AE" w:rsidRPr="00D11401" w14:paraId="2362090C"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3E20E4B3"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Married woman’s rate above upper earnings limit</w:t>
            </w:r>
          </w:p>
          <w:p w14:paraId="0EF28644"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April 2022 to 5 November 2022</w:t>
            </w:r>
          </w:p>
          <w:p w14:paraId="09158D03"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November 2022 to 5 April 2023</w:t>
            </w:r>
          </w:p>
        </w:tc>
        <w:tc>
          <w:tcPr>
            <w:tcW w:w="1886" w:type="dxa"/>
            <w:tcBorders>
              <w:top w:val="single" w:sz="4" w:space="0" w:color="auto"/>
              <w:left w:val="single" w:sz="4" w:space="0" w:color="auto"/>
              <w:bottom w:val="single" w:sz="4" w:space="0" w:color="auto"/>
              <w:right w:val="single" w:sz="4" w:space="0" w:color="auto"/>
            </w:tcBorders>
            <w:noWrap/>
            <w:hideMark/>
          </w:tcPr>
          <w:p w14:paraId="1ACF694F"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w:t>
            </w:r>
          </w:p>
        </w:tc>
        <w:tc>
          <w:tcPr>
            <w:tcW w:w="1746" w:type="dxa"/>
            <w:tcBorders>
              <w:top w:val="single" w:sz="4" w:space="0" w:color="auto"/>
              <w:left w:val="single" w:sz="4" w:space="0" w:color="auto"/>
              <w:bottom w:val="single" w:sz="4" w:space="0" w:color="auto"/>
              <w:right w:val="single" w:sz="4" w:space="0" w:color="auto"/>
            </w:tcBorders>
            <w:noWrap/>
            <w:hideMark/>
          </w:tcPr>
          <w:p w14:paraId="2207BE8A" w14:textId="77777777" w:rsidR="009230AE" w:rsidRPr="00D11401" w:rsidRDefault="009230AE" w:rsidP="001955DD">
            <w:pPr>
              <w:pStyle w:val="NoSpacing"/>
              <w:jc w:val="right"/>
              <w:rPr>
                <w:rFonts w:ascii="Arial" w:hAnsi="Arial" w:cs="Arial"/>
                <w:sz w:val="20"/>
                <w:szCs w:val="20"/>
              </w:rPr>
            </w:pPr>
          </w:p>
          <w:p w14:paraId="1E256883"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3.25%</w:t>
            </w:r>
          </w:p>
          <w:p w14:paraId="1C271BCB"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2%</w:t>
            </w:r>
          </w:p>
        </w:tc>
      </w:tr>
      <w:tr w:rsidR="009230AE" w:rsidRPr="00D11401" w14:paraId="6C8BC2FC"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0301E416"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 xml:space="preserve">Employer's secondary class 1 rate above secondary threshold </w:t>
            </w:r>
            <w:r w:rsidRPr="00D11401">
              <w:rPr>
                <w:rFonts w:ascii="Arial" w:hAnsi="Arial" w:cs="Arial"/>
                <w:sz w:val="20"/>
                <w:szCs w:val="20"/>
              </w:rPr>
              <w:br/>
              <w:t>(note 9)</w:t>
            </w:r>
          </w:p>
          <w:p w14:paraId="7A97C17B"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April 2022 to 5 November 2022</w:t>
            </w:r>
          </w:p>
          <w:p w14:paraId="2AE6934F" w14:textId="77777777" w:rsidR="009230AE" w:rsidRPr="00D11401" w:rsidRDefault="009230AE" w:rsidP="001955DD">
            <w:pPr>
              <w:pStyle w:val="NoSpacing"/>
              <w:rPr>
                <w:rFonts w:ascii="Arial" w:hAnsi="Arial" w:cs="Arial"/>
                <w:sz w:val="20"/>
                <w:szCs w:val="20"/>
              </w:rPr>
            </w:pPr>
            <w:r w:rsidRPr="00D11401">
              <w:rPr>
                <w:rFonts w:ascii="Arial" w:hAnsi="Arial" w:cs="Arial"/>
                <w:sz w:val="20"/>
                <w:szCs w:val="20"/>
              </w:rPr>
              <w:t>From 6 November 2022 to 5 April 2023</w:t>
            </w:r>
          </w:p>
          <w:p w14:paraId="6AADFF69" w14:textId="77777777" w:rsidR="009230AE" w:rsidRPr="00D11401" w:rsidRDefault="009230AE" w:rsidP="001955DD">
            <w:pPr>
              <w:spacing w:after="200" w:line="276" w:lineRule="auto"/>
              <w:rPr>
                <w:rFonts w:ascii="Arial" w:eastAsia="Calibri"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noWrap/>
            <w:hideMark/>
          </w:tcPr>
          <w:p w14:paraId="302C4473"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13.8%</w:t>
            </w:r>
          </w:p>
        </w:tc>
        <w:tc>
          <w:tcPr>
            <w:tcW w:w="1746" w:type="dxa"/>
            <w:tcBorders>
              <w:top w:val="single" w:sz="4" w:space="0" w:color="auto"/>
              <w:left w:val="single" w:sz="4" w:space="0" w:color="auto"/>
              <w:bottom w:val="single" w:sz="4" w:space="0" w:color="auto"/>
              <w:right w:val="single" w:sz="4" w:space="0" w:color="auto"/>
            </w:tcBorders>
            <w:noWrap/>
            <w:hideMark/>
          </w:tcPr>
          <w:p w14:paraId="2D4AB96F" w14:textId="77777777" w:rsidR="009230AE" w:rsidRPr="00D11401" w:rsidRDefault="009230AE" w:rsidP="001955DD">
            <w:pPr>
              <w:pStyle w:val="NoSpacing"/>
              <w:jc w:val="right"/>
              <w:rPr>
                <w:rFonts w:ascii="Arial" w:hAnsi="Arial" w:cs="Arial"/>
                <w:sz w:val="20"/>
                <w:szCs w:val="20"/>
              </w:rPr>
            </w:pPr>
          </w:p>
          <w:p w14:paraId="26B8A002" w14:textId="77777777" w:rsidR="009230AE" w:rsidRDefault="009230AE" w:rsidP="001955DD">
            <w:pPr>
              <w:pStyle w:val="NoSpacing"/>
              <w:jc w:val="right"/>
              <w:rPr>
                <w:rFonts w:ascii="Arial" w:hAnsi="Arial" w:cs="Arial"/>
                <w:sz w:val="20"/>
                <w:szCs w:val="20"/>
              </w:rPr>
            </w:pPr>
          </w:p>
          <w:p w14:paraId="13DF278C"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15.05%</w:t>
            </w:r>
          </w:p>
          <w:p w14:paraId="72FCEFE3" w14:textId="77777777" w:rsidR="009230AE" w:rsidRPr="00D11401" w:rsidRDefault="009230AE" w:rsidP="001955DD">
            <w:pPr>
              <w:pStyle w:val="NoSpacing"/>
              <w:jc w:val="right"/>
              <w:rPr>
                <w:rFonts w:ascii="Arial" w:hAnsi="Arial" w:cs="Arial"/>
                <w:sz w:val="20"/>
                <w:szCs w:val="20"/>
              </w:rPr>
            </w:pPr>
            <w:r w:rsidRPr="00D11401">
              <w:rPr>
                <w:rFonts w:ascii="Arial" w:hAnsi="Arial" w:cs="Arial"/>
                <w:sz w:val="20"/>
                <w:szCs w:val="20"/>
              </w:rPr>
              <w:t>13.8%</w:t>
            </w:r>
          </w:p>
        </w:tc>
      </w:tr>
      <w:tr w:rsidR="009230AE" w:rsidRPr="00D11401" w14:paraId="5134F797"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vAlign w:val="bottom"/>
          </w:tcPr>
          <w:p w14:paraId="48C43090" w14:textId="77777777" w:rsidR="009230AE" w:rsidRPr="00D11401" w:rsidRDefault="009230AE" w:rsidP="001955DD">
            <w:pPr>
              <w:spacing w:after="200" w:line="276" w:lineRule="auto"/>
              <w:rPr>
                <w:rFonts w:ascii="Arial" w:eastAsia="Calibri" w:hAnsi="Arial" w:cs="Arial"/>
                <w:sz w:val="20"/>
                <w:szCs w:val="20"/>
                <w:lang w:eastAsia="en-GB"/>
              </w:rPr>
            </w:pPr>
            <w:r w:rsidRPr="00D11401">
              <w:rPr>
                <w:rFonts w:ascii="Arial" w:eastAsia="Calibri" w:hAnsi="Arial" w:cs="Arial"/>
                <w:sz w:val="20"/>
                <w:szCs w:val="20"/>
                <w:lang w:eastAsia="en-GB"/>
              </w:rPr>
              <w:t xml:space="preserve">Class 2 rate (per week where profits are above lower profits limit threshold </w:t>
            </w:r>
          </w:p>
        </w:tc>
        <w:tc>
          <w:tcPr>
            <w:tcW w:w="1886" w:type="dxa"/>
            <w:tcBorders>
              <w:top w:val="single" w:sz="4" w:space="0" w:color="auto"/>
              <w:left w:val="single" w:sz="4" w:space="0" w:color="auto"/>
              <w:bottom w:val="single" w:sz="4" w:space="0" w:color="auto"/>
              <w:right w:val="single" w:sz="4" w:space="0" w:color="auto"/>
            </w:tcBorders>
            <w:noWrap/>
          </w:tcPr>
          <w:p w14:paraId="2987D743" w14:textId="77777777" w:rsidR="009230AE" w:rsidRPr="00D11401" w:rsidRDefault="009230AE" w:rsidP="001955DD">
            <w:pPr>
              <w:spacing w:after="200" w:line="276" w:lineRule="auto"/>
              <w:jc w:val="right"/>
              <w:rPr>
                <w:rFonts w:ascii="Arial" w:eastAsia="Calibri" w:hAnsi="Arial" w:cs="Arial"/>
                <w:sz w:val="20"/>
                <w:szCs w:val="20"/>
              </w:rPr>
            </w:pPr>
          </w:p>
          <w:p w14:paraId="5B59DBBD"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£3.45</w:t>
            </w:r>
          </w:p>
        </w:tc>
        <w:tc>
          <w:tcPr>
            <w:tcW w:w="1746" w:type="dxa"/>
            <w:tcBorders>
              <w:top w:val="single" w:sz="4" w:space="0" w:color="auto"/>
              <w:left w:val="single" w:sz="4" w:space="0" w:color="auto"/>
              <w:bottom w:val="single" w:sz="4" w:space="0" w:color="auto"/>
              <w:right w:val="single" w:sz="4" w:space="0" w:color="auto"/>
            </w:tcBorders>
            <w:noWrap/>
          </w:tcPr>
          <w:p w14:paraId="214FB68E" w14:textId="77777777" w:rsidR="009230AE" w:rsidRPr="00D11401" w:rsidRDefault="009230AE" w:rsidP="001955DD">
            <w:pPr>
              <w:spacing w:after="200" w:line="276" w:lineRule="auto"/>
              <w:jc w:val="right"/>
              <w:rPr>
                <w:rFonts w:ascii="Arial" w:eastAsia="Calibri" w:hAnsi="Arial" w:cs="Arial"/>
                <w:sz w:val="20"/>
                <w:szCs w:val="20"/>
              </w:rPr>
            </w:pPr>
          </w:p>
          <w:p w14:paraId="0A1B37B6"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£3.15</w:t>
            </w:r>
          </w:p>
        </w:tc>
      </w:tr>
      <w:tr w:rsidR="009230AE" w:rsidRPr="00D11401" w14:paraId="631DAD6C"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vAlign w:val="bottom"/>
          </w:tcPr>
          <w:p w14:paraId="780B37B7" w14:textId="77777777" w:rsidR="009230AE" w:rsidRPr="00D11401" w:rsidRDefault="009230AE" w:rsidP="001955DD">
            <w:pPr>
              <w:spacing w:after="200" w:line="276" w:lineRule="auto"/>
              <w:rPr>
                <w:rFonts w:ascii="Arial" w:eastAsia="Calibri" w:hAnsi="Arial" w:cs="Arial"/>
                <w:sz w:val="20"/>
                <w:szCs w:val="20"/>
                <w:lang w:eastAsia="en-GB"/>
              </w:rPr>
            </w:pPr>
            <w:r w:rsidRPr="00D11401">
              <w:rPr>
                <w:rFonts w:ascii="Arial" w:eastAsia="Calibri" w:hAnsi="Arial" w:cs="Arial"/>
                <w:sz w:val="20"/>
                <w:szCs w:val="20"/>
                <w:lang w:eastAsia="en-GB"/>
              </w:rPr>
              <w:t xml:space="preserve">Class 2 small profits threshold (per year) </w:t>
            </w:r>
          </w:p>
        </w:tc>
        <w:tc>
          <w:tcPr>
            <w:tcW w:w="1886" w:type="dxa"/>
            <w:tcBorders>
              <w:top w:val="single" w:sz="4" w:space="0" w:color="auto"/>
              <w:left w:val="single" w:sz="4" w:space="0" w:color="auto"/>
              <w:bottom w:val="single" w:sz="4" w:space="0" w:color="auto"/>
              <w:right w:val="single" w:sz="4" w:space="0" w:color="auto"/>
            </w:tcBorders>
            <w:noWrap/>
          </w:tcPr>
          <w:p w14:paraId="61655BD8"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£6,725</w:t>
            </w:r>
          </w:p>
        </w:tc>
        <w:tc>
          <w:tcPr>
            <w:tcW w:w="1746" w:type="dxa"/>
            <w:tcBorders>
              <w:top w:val="single" w:sz="4" w:space="0" w:color="auto"/>
              <w:left w:val="single" w:sz="4" w:space="0" w:color="auto"/>
              <w:bottom w:val="single" w:sz="4" w:space="0" w:color="auto"/>
              <w:right w:val="single" w:sz="4" w:space="0" w:color="auto"/>
            </w:tcBorders>
            <w:noWrap/>
          </w:tcPr>
          <w:p w14:paraId="08814AC2"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£6,725</w:t>
            </w:r>
          </w:p>
        </w:tc>
      </w:tr>
      <w:tr w:rsidR="009230AE" w:rsidRPr="00D11401" w14:paraId="367B02D7"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0492E3E0"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Class 3 voluntary rate (per week)</w:t>
            </w:r>
          </w:p>
        </w:tc>
        <w:tc>
          <w:tcPr>
            <w:tcW w:w="1886" w:type="dxa"/>
            <w:tcBorders>
              <w:top w:val="single" w:sz="4" w:space="0" w:color="auto"/>
              <w:left w:val="single" w:sz="4" w:space="0" w:color="auto"/>
              <w:bottom w:val="single" w:sz="4" w:space="0" w:color="auto"/>
              <w:right w:val="single" w:sz="4" w:space="0" w:color="auto"/>
            </w:tcBorders>
            <w:noWrap/>
            <w:hideMark/>
          </w:tcPr>
          <w:p w14:paraId="123CC179"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£17.45</w:t>
            </w:r>
          </w:p>
        </w:tc>
        <w:tc>
          <w:tcPr>
            <w:tcW w:w="1746" w:type="dxa"/>
            <w:tcBorders>
              <w:top w:val="single" w:sz="4" w:space="0" w:color="auto"/>
              <w:left w:val="single" w:sz="4" w:space="0" w:color="auto"/>
              <w:bottom w:val="single" w:sz="4" w:space="0" w:color="auto"/>
              <w:right w:val="single" w:sz="4" w:space="0" w:color="auto"/>
            </w:tcBorders>
            <w:noWrap/>
            <w:hideMark/>
          </w:tcPr>
          <w:p w14:paraId="3FD7022B"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£15.85</w:t>
            </w:r>
          </w:p>
        </w:tc>
      </w:tr>
      <w:tr w:rsidR="009230AE" w:rsidRPr="00D11401" w14:paraId="6B7B8585"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2828B611"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 xml:space="preserve">Class 4 lower profits limit </w:t>
            </w:r>
          </w:p>
          <w:p w14:paraId="3CDD7A59" w14:textId="77777777" w:rsidR="009230AE" w:rsidRPr="00D11401" w:rsidRDefault="009230AE" w:rsidP="001955DD">
            <w:pPr>
              <w:spacing w:after="200" w:line="276" w:lineRule="auto"/>
              <w:jc w:val="right"/>
              <w:rPr>
                <w:rFonts w:ascii="Arial" w:eastAsia="Calibri"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noWrap/>
            <w:hideMark/>
          </w:tcPr>
          <w:p w14:paraId="17AB8FD0"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£12,570</w:t>
            </w:r>
          </w:p>
        </w:tc>
        <w:tc>
          <w:tcPr>
            <w:tcW w:w="1746" w:type="dxa"/>
            <w:tcBorders>
              <w:top w:val="single" w:sz="4" w:space="0" w:color="auto"/>
              <w:left w:val="single" w:sz="4" w:space="0" w:color="auto"/>
              <w:bottom w:val="single" w:sz="4" w:space="0" w:color="auto"/>
              <w:right w:val="single" w:sz="4" w:space="0" w:color="auto"/>
            </w:tcBorders>
            <w:noWrap/>
            <w:hideMark/>
          </w:tcPr>
          <w:p w14:paraId="2BB8CC1F"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£11,908</w:t>
            </w:r>
          </w:p>
        </w:tc>
      </w:tr>
      <w:tr w:rsidR="009230AE" w:rsidRPr="00D11401" w14:paraId="6382CE4E"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7CBE2B5C"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Class 4 upper profits limit</w:t>
            </w:r>
          </w:p>
        </w:tc>
        <w:tc>
          <w:tcPr>
            <w:tcW w:w="1886" w:type="dxa"/>
            <w:tcBorders>
              <w:top w:val="single" w:sz="4" w:space="0" w:color="auto"/>
              <w:left w:val="single" w:sz="4" w:space="0" w:color="auto"/>
              <w:bottom w:val="single" w:sz="4" w:space="0" w:color="auto"/>
              <w:right w:val="single" w:sz="4" w:space="0" w:color="auto"/>
            </w:tcBorders>
            <w:noWrap/>
            <w:hideMark/>
          </w:tcPr>
          <w:p w14:paraId="269265EE"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£50,270</w:t>
            </w:r>
          </w:p>
        </w:tc>
        <w:tc>
          <w:tcPr>
            <w:tcW w:w="1746" w:type="dxa"/>
            <w:tcBorders>
              <w:top w:val="single" w:sz="4" w:space="0" w:color="auto"/>
              <w:left w:val="single" w:sz="4" w:space="0" w:color="auto"/>
              <w:bottom w:val="single" w:sz="4" w:space="0" w:color="auto"/>
              <w:right w:val="single" w:sz="4" w:space="0" w:color="auto"/>
            </w:tcBorders>
            <w:noWrap/>
            <w:hideMark/>
          </w:tcPr>
          <w:p w14:paraId="595D1887"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£50,270</w:t>
            </w:r>
          </w:p>
        </w:tc>
      </w:tr>
      <w:tr w:rsidR="009230AE" w:rsidRPr="00D11401" w14:paraId="39BC7D4B"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2C316951"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 xml:space="preserve">Class 4 rate between lower profits limit and upper profits limit </w:t>
            </w:r>
          </w:p>
        </w:tc>
        <w:tc>
          <w:tcPr>
            <w:tcW w:w="1886" w:type="dxa"/>
            <w:tcBorders>
              <w:top w:val="single" w:sz="4" w:space="0" w:color="auto"/>
              <w:left w:val="single" w:sz="4" w:space="0" w:color="auto"/>
              <w:bottom w:val="single" w:sz="4" w:space="0" w:color="auto"/>
              <w:right w:val="single" w:sz="4" w:space="0" w:color="auto"/>
            </w:tcBorders>
            <w:noWrap/>
            <w:hideMark/>
          </w:tcPr>
          <w:p w14:paraId="7EA2203D"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9.73%</w:t>
            </w:r>
          </w:p>
        </w:tc>
        <w:tc>
          <w:tcPr>
            <w:tcW w:w="1746" w:type="dxa"/>
            <w:tcBorders>
              <w:top w:val="single" w:sz="4" w:space="0" w:color="auto"/>
              <w:left w:val="single" w:sz="4" w:space="0" w:color="auto"/>
              <w:bottom w:val="single" w:sz="4" w:space="0" w:color="auto"/>
              <w:right w:val="single" w:sz="4" w:space="0" w:color="auto"/>
            </w:tcBorders>
            <w:noWrap/>
            <w:hideMark/>
          </w:tcPr>
          <w:p w14:paraId="2CBBBFDE"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9.73%</w:t>
            </w:r>
          </w:p>
        </w:tc>
      </w:tr>
      <w:tr w:rsidR="009230AE" w:rsidRPr="00D11401" w14:paraId="4E443416"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hideMark/>
          </w:tcPr>
          <w:p w14:paraId="0F1F7154"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lastRenderedPageBreak/>
              <w:t xml:space="preserve">Class 4 rate above upper profits limit </w:t>
            </w:r>
          </w:p>
        </w:tc>
        <w:tc>
          <w:tcPr>
            <w:tcW w:w="1886" w:type="dxa"/>
            <w:tcBorders>
              <w:top w:val="single" w:sz="4" w:space="0" w:color="auto"/>
              <w:left w:val="single" w:sz="4" w:space="0" w:color="auto"/>
              <w:bottom w:val="single" w:sz="4" w:space="0" w:color="auto"/>
              <w:right w:val="single" w:sz="4" w:space="0" w:color="auto"/>
            </w:tcBorders>
            <w:noWrap/>
            <w:hideMark/>
          </w:tcPr>
          <w:p w14:paraId="444B5724"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2.73%</w:t>
            </w:r>
          </w:p>
        </w:tc>
        <w:tc>
          <w:tcPr>
            <w:tcW w:w="1746" w:type="dxa"/>
            <w:tcBorders>
              <w:top w:val="single" w:sz="4" w:space="0" w:color="auto"/>
              <w:left w:val="single" w:sz="4" w:space="0" w:color="auto"/>
              <w:bottom w:val="single" w:sz="4" w:space="0" w:color="auto"/>
              <w:right w:val="single" w:sz="4" w:space="0" w:color="auto"/>
            </w:tcBorders>
            <w:noWrap/>
            <w:hideMark/>
          </w:tcPr>
          <w:p w14:paraId="195ADFB0"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2.73%</w:t>
            </w:r>
          </w:p>
        </w:tc>
      </w:tr>
      <w:tr w:rsidR="009230AE" w:rsidRPr="00D11401" w14:paraId="1DFC675D" w14:textId="77777777" w:rsidTr="001955DD">
        <w:trPr>
          <w:trHeight w:val="330"/>
        </w:trPr>
        <w:tc>
          <w:tcPr>
            <w:tcW w:w="6527" w:type="dxa"/>
            <w:tcBorders>
              <w:top w:val="single" w:sz="4" w:space="0" w:color="auto"/>
              <w:left w:val="single" w:sz="4" w:space="0" w:color="auto"/>
              <w:bottom w:val="single" w:sz="4" w:space="0" w:color="auto"/>
              <w:right w:val="single" w:sz="4" w:space="0" w:color="auto"/>
            </w:tcBorders>
            <w:noWrap/>
          </w:tcPr>
          <w:p w14:paraId="298EFEF8" w14:textId="77777777" w:rsidR="009230AE" w:rsidRPr="00D11401" w:rsidRDefault="009230AE" w:rsidP="001955DD">
            <w:pPr>
              <w:spacing w:after="200" w:line="276" w:lineRule="auto"/>
              <w:rPr>
                <w:rFonts w:ascii="Arial" w:eastAsia="Calibri" w:hAnsi="Arial" w:cs="Arial"/>
                <w:sz w:val="20"/>
                <w:szCs w:val="20"/>
              </w:rPr>
            </w:pPr>
            <w:r w:rsidRPr="00D11401">
              <w:rPr>
                <w:rFonts w:ascii="Arial" w:eastAsia="Calibri" w:hAnsi="Arial" w:cs="Arial"/>
                <w:sz w:val="20"/>
                <w:szCs w:val="20"/>
              </w:rPr>
              <w:t xml:space="preserve">Class 1A/1B NIC </w:t>
            </w:r>
          </w:p>
        </w:tc>
        <w:tc>
          <w:tcPr>
            <w:tcW w:w="1886" w:type="dxa"/>
            <w:tcBorders>
              <w:top w:val="single" w:sz="4" w:space="0" w:color="auto"/>
              <w:left w:val="single" w:sz="4" w:space="0" w:color="auto"/>
              <w:bottom w:val="single" w:sz="4" w:space="0" w:color="auto"/>
              <w:right w:val="single" w:sz="4" w:space="0" w:color="auto"/>
            </w:tcBorders>
            <w:noWrap/>
          </w:tcPr>
          <w:p w14:paraId="6DD834CD"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14.53%</w:t>
            </w:r>
          </w:p>
        </w:tc>
        <w:tc>
          <w:tcPr>
            <w:tcW w:w="1746" w:type="dxa"/>
            <w:tcBorders>
              <w:top w:val="single" w:sz="4" w:space="0" w:color="auto"/>
              <w:left w:val="single" w:sz="4" w:space="0" w:color="auto"/>
              <w:bottom w:val="single" w:sz="4" w:space="0" w:color="auto"/>
              <w:right w:val="single" w:sz="4" w:space="0" w:color="auto"/>
            </w:tcBorders>
            <w:noWrap/>
          </w:tcPr>
          <w:p w14:paraId="1A6E8BF8" w14:textId="77777777" w:rsidR="009230AE" w:rsidRPr="00D11401" w:rsidRDefault="009230AE" w:rsidP="001955DD">
            <w:pPr>
              <w:spacing w:after="200" w:line="276" w:lineRule="auto"/>
              <w:jc w:val="right"/>
              <w:rPr>
                <w:rFonts w:ascii="Arial" w:eastAsia="Calibri" w:hAnsi="Arial" w:cs="Arial"/>
                <w:sz w:val="20"/>
                <w:szCs w:val="20"/>
              </w:rPr>
            </w:pPr>
            <w:r w:rsidRPr="00D11401">
              <w:rPr>
                <w:rFonts w:ascii="Arial" w:eastAsia="Calibri" w:hAnsi="Arial" w:cs="Arial"/>
                <w:sz w:val="20"/>
                <w:szCs w:val="20"/>
              </w:rPr>
              <w:t>14.53%</w:t>
            </w:r>
          </w:p>
        </w:tc>
      </w:tr>
    </w:tbl>
    <w:p w14:paraId="77160C16" w14:textId="77777777" w:rsidR="009230AE" w:rsidRPr="00D11401" w:rsidRDefault="009230AE" w:rsidP="009230AE">
      <w:pPr>
        <w:rPr>
          <w:rFonts w:ascii="Arial" w:hAnsi="Arial" w:cs="Arial"/>
          <w:sz w:val="20"/>
          <w:szCs w:val="20"/>
        </w:rPr>
      </w:pPr>
    </w:p>
    <w:p w14:paraId="23DA95C4" w14:textId="77777777" w:rsidR="009230AE" w:rsidRDefault="009230AE" w:rsidP="009230AE">
      <w:pPr>
        <w:rPr>
          <w:rFonts w:ascii="Arial" w:hAnsi="Arial" w:cs="Arial"/>
          <w:b/>
          <w:color w:val="FF0000"/>
          <w:sz w:val="22"/>
          <w:szCs w:val="22"/>
        </w:rPr>
      </w:pPr>
    </w:p>
    <w:p w14:paraId="09EC3898" w14:textId="5B230944" w:rsidR="00CF0B65" w:rsidRPr="00242A37" w:rsidRDefault="00CF0B65" w:rsidP="00CF0B65">
      <w:pPr>
        <w:rPr>
          <w:rFonts w:ascii="Arial" w:hAnsi="Arial" w:cs="Arial"/>
          <w:b/>
          <w:bCs/>
          <w:sz w:val="22"/>
          <w:szCs w:val="22"/>
        </w:rPr>
      </w:pPr>
      <w:r>
        <w:rPr>
          <w:rFonts w:ascii="Arial" w:hAnsi="Arial" w:cs="Arial"/>
          <w:b/>
          <w:bCs/>
          <w:sz w:val="22"/>
          <w:szCs w:val="22"/>
        </w:rPr>
        <w:t>National Living Wage</w:t>
      </w:r>
    </w:p>
    <w:p w14:paraId="03F9E6A6" w14:textId="29BB07AD" w:rsidR="00CF0B65" w:rsidRPr="004E53D5" w:rsidRDefault="004E53D5" w:rsidP="009E564F">
      <w:pPr>
        <w:rPr>
          <w:rFonts w:ascii="Arial" w:hAnsi="Arial" w:cs="Arial"/>
          <w:sz w:val="22"/>
          <w:szCs w:val="22"/>
          <w:lang w:val="en-US"/>
        </w:rPr>
      </w:pPr>
      <w:r w:rsidRPr="004E53D5">
        <w:rPr>
          <w:rFonts w:ascii="Arial" w:hAnsi="Arial" w:cs="Arial"/>
          <w:sz w:val="22"/>
          <w:szCs w:val="22"/>
          <w:lang w:val="en-US"/>
        </w:rPr>
        <w:t>From 1 April 2023, the government will increase the National Living Wage (NLW) by 9.7% to £10.42 an hour, for those aged 23 and over.</w:t>
      </w:r>
    </w:p>
    <w:p w14:paraId="21F03560" w14:textId="77777777" w:rsidR="004E53D5" w:rsidRDefault="004E53D5" w:rsidP="009E564F">
      <w:pPr>
        <w:rPr>
          <w:rFonts w:ascii="Arial" w:hAnsi="Arial" w:cs="Arial"/>
          <w:b/>
          <w:bCs/>
          <w:sz w:val="22"/>
          <w:szCs w:val="22"/>
        </w:rPr>
      </w:pPr>
    </w:p>
    <w:p w14:paraId="6C6B0CFF" w14:textId="6E4FBC5B" w:rsidR="00010DA1" w:rsidRPr="00242A37" w:rsidRDefault="00010DA1" w:rsidP="009E564F">
      <w:pPr>
        <w:rPr>
          <w:rFonts w:ascii="Arial" w:hAnsi="Arial" w:cs="Arial"/>
          <w:b/>
          <w:bCs/>
          <w:sz w:val="22"/>
          <w:szCs w:val="22"/>
        </w:rPr>
      </w:pPr>
      <w:r w:rsidRPr="00242A37">
        <w:rPr>
          <w:rFonts w:ascii="Arial" w:hAnsi="Arial" w:cs="Arial"/>
          <w:b/>
          <w:bCs/>
          <w:sz w:val="22"/>
          <w:szCs w:val="22"/>
        </w:rPr>
        <w:t xml:space="preserve">Dividend </w:t>
      </w:r>
      <w:r w:rsidR="004E53C7" w:rsidRPr="00242A37">
        <w:rPr>
          <w:rFonts w:ascii="Arial" w:hAnsi="Arial" w:cs="Arial"/>
          <w:b/>
          <w:bCs/>
          <w:sz w:val="22"/>
          <w:szCs w:val="22"/>
        </w:rPr>
        <w:t>a</w:t>
      </w:r>
      <w:r w:rsidRPr="00242A37">
        <w:rPr>
          <w:rFonts w:ascii="Arial" w:hAnsi="Arial" w:cs="Arial"/>
          <w:b/>
          <w:bCs/>
          <w:sz w:val="22"/>
          <w:szCs w:val="22"/>
        </w:rPr>
        <w:t>llowance</w:t>
      </w:r>
    </w:p>
    <w:p w14:paraId="528E3224" w14:textId="13767DBB" w:rsidR="003A4F8A" w:rsidRPr="00242A37" w:rsidRDefault="003A4F8A" w:rsidP="0021578B">
      <w:pPr>
        <w:rPr>
          <w:rFonts w:ascii="Arial" w:hAnsi="Arial" w:cs="Arial"/>
          <w:sz w:val="22"/>
          <w:szCs w:val="22"/>
        </w:rPr>
      </w:pPr>
      <w:r w:rsidRPr="00242A37">
        <w:rPr>
          <w:rFonts w:ascii="Arial" w:hAnsi="Arial" w:cs="Arial"/>
          <w:sz w:val="22"/>
          <w:szCs w:val="22"/>
          <w:lang w:val="en-US"/>
        </w:rPr>
        <w:t xml:space="preserve">Dividend allowance is reduced from £2,000 to £1,000 from April 2023 and to £500 from April 2024. The threshold of £2,000 has been in place since April 2018. </w:t>
      </w:r>
    </w:p>
    <w:p w14:paraId="29BA84DB" w14:textId="77777777" w:rsidR="009E564F" w:rsidRDefault="009E564F" w:rsidP="009E564F">
      <w:pPr>
        <w:rPr>
          <w:rFonts w:ascii="Arial" w:hAnsi="Arial" w:cs="Arial"/>
          <w:sz w:val="22"/>
          <w:szCs w:val="22"/>
        </w:rPr>
      </w:pPr>
    </w:p>
    <w:p w14:paraId="3426720F" w14:textId="62170F80" w:rsidR="003A4F8A" w:rsidRPr="00242A37" w:rsidRDefault="003A4F8A" w:rsidP="009E564F">
      <w:pPr>
        <w:rPr>
          <w:rFonts w:ascii="Arial" w:hAnsi="Arial" w:cs="Arial"/>
          <w:sz w:val="22"/>
          <w:szCs w:val="22"/>
        </w:rPr>
      </w:pPr>
      <w:r w:rsidRPr="00242A37">
        <w:rPr>
          <w:rFonts w:ascii="Arial" w:hAnsi="Arial" w:cs="Arial"/>
          <w:sz w:val="22"/>
          <w:szCs w:val="22"/>
        </w:rPr>
        <w:t>Dividends above the dividend allowance were taxed at 7.5% (basic rate), 32.5% (higher rate), and 38.1% (additional rate).</w:t>
      </w:r>
      <w:r w:rsidRPr="00242A37">
        <w:rPr>
          <w:rFonts w:ascii="Arial" w:hAnsi="Arial" w:cs="Arial"/>
          <w:color w:val="333333"/>
          <w:spacing w:val="2"/>
          <w:sz w:val="22"/>
          <w:szCs w:val="22"/>
          <w:shd w:val="clear" w:color="auto" w:fill="FFFFFF"/>
        </w:rPr>
        <w:t xml:space="preserve"> </w:t>
      </w:r>
      <w:r w:rsidRPr="00242A37">
        <w:rPr>
          <w:rFonts w:ascii="Arial" w:hAnsi="Arial" w:cs="Arial"/>
          <w:sz w:val="22"/>
          <w:szCs w:val="22"/>
        </w:rPr>
        <w:t>From 6 April 2022, dividends are taxed at 8.75% (basic rate), 33.75% (higher rate), and 39.35% (additional rate)</w:t>
      </w:r>
    </w:p>
    <w:p w14:paraId="4973FBE9" w14:textId="77777777" w:rsidR="003A4F8A" w:rsidRPr="00242A37" w:rsidRDefault="003A4F8A" w:rsidP="009E564F">
      <w:pPr>
        <w:rPr>
          <w:rFonts w:ascii="Arial" w:hAnsi="Arial" w:cs="Arial"/>
          <w:sz w:val="22"/>
          <w:szCs w:val="22"/>
          <w:highlight w:val="yellow"/>
        </w:rPr>
      </w:pPr>
    </w:p>
    <w:p w14:paraId="6615CB2C" w14:textId="68E72C62" w:rsidR="002C3D74" w:rsidRPr="00242A37" w:rsidRDefault="002C3D74" w:rsidP="002C3D74">
      <w:pPr>
        <w:rPr>
          <w:rFonts w:ascii="Arial" w:hAnsi="Arial" w:cs="Arial"/>
          <w:b/>
          <w:bCs/>
          <w:sz w:val="22"/>
          <w:szCs w:val="22"/>
        </w:rPr>
      </w:pPr>
      <w:r w:rsidRPr="00242A37">
        <w:rPr>
          <w:rFonts w:ascii="Arial" w:hAnsi="Arial" w:cs="Arial"/>
          <w:b/>
          <w:bCs/>
          <w:sz w:val="22"/>
          <w:szCs w:val="22"/>
        </w:rPr>
        <w:t xml:space="preserve">Inheritance </w:t>
      </w:r>
      <w:r w:rsidR="009E564F">
        <w:rPr>
          <w:rFonts w:ascii="Arial" w:hAnsi="Arial" w:cs="Arial"/>
          <w:b/>
          <w:bCs/>
          <w:sz w:val="22"/>
          <w:szCs w:val="22"/>
        </w:rPr>
        <w:t>t</w:t>
      </w:r>
      <w:r w:rsidRPr="00242A37">
        <w:rPr>
          <w:rFonts w:ascii="Arial" w:hAnsi="Arial" w:cs="Arial"/>
          <w:b/>
          <w:bCs/>
          <w:sz w:val="22"/>
          <w:szCs w:val="22"/>
        </w:rPr>
        <w:t>ax</w:t>
      </w:r>
    </w:p>
    <w:p w14:paraId="5CCCA296" w14:textId="79659988" w:rsidR="002C3D74" w:rsidRPr="00242A37" w:rsidRDefault="002C3D74" w:rsidP="002C3D74">
      <w:pPr>
        <w:rPr>
          <w:rFonts w:ascii="Arial" w:hAnsi="Arial" w:cs="Arial"/>
          <w:sz w:val="22"/>
          <w:szCs w:val="22"/>
        </w:rPr>
      </w:pPr>
      <w:r w:rsidRPr="00242A37">
        <w:rPr>
          <w:rFonts w:ascii="Arial" w:hAnsi="Arial" w:cs="Arial"/>
          <w:sz w:val="22"/>
          <w:szCs w:val="22"/>
        </w:rPr>
        <w:t xml:space="preserve">Inheritance tax nil-rate band and residence nil-rate band – thresholds </w:t>
      </w:r>
      <w:r w:rsidR="009E564F">
        <w:rPr>
          <w:rFonts w:ascii="Arial" w:hAnsi="Arial" w:cs="Arial"/>
          <w:sz w:val="22"/>
          <w:szCs w:val="22"/>
        </w:rPr>
        <w:t xml:space="preserve">are maintained </w:t>
      </w:r>
      <w:r w:rsidRPr="00242A37">
        <w:rPr>
          <w:rFonts w:ascii="Arial" w:hAnsi="Arial" w:cs="Arial"/>
          <w:sz w:val="22"/>
          <w:szCs w:val="22"/>
        </w:rPr>
        <w:t xml:space="preserve">at </w:t>
      </w:r>
      <w:r w:rsidR="009E564F">
        <w:rPr>
          <w:rFonts w:ascii="Arial" w:hAnsi="Arial" w:cs="Arial"/>
          <w:sz w:val="22"/>
          <w:szCs w:val="22"/>
        </w:rPr>
        <w:t xml:space="preserve">the </w:t>
      </w:r>
      <w:r w:rsidRPr="00242A37">
        <w:rPr>
          <w:rFonts w:ascii="Arial" w:hAnsi="Arial" w:cs="Arial"/>
          <w:sz w:val="22"/>
          <w:szCs w:val="22"/>
        </w:rPr>
        <w:t>current level until April 2028</w:t>
      </w:r>
      <w:r w:rsidR="001B6BD6" w:rsidRPr="00242A37">
        <w:rPr>
          <w:rFonts w:ascii="Arial" w:hAnsi="Arial" w:cs="Arial"/>
          <w:sz w:val="22"/>
          <w:szCs w:val="22"/>
        </w:rPr>
        <w:t>.</w:t>
      </w:r>
    </w:p>
    <w:p w14:paraId="77AF7C72" w14:textId="77777777" w:rsidR="001B6BD6" w:rsidRPr="00242A37" w:rsidRDefault="001B6BD6" w:rsidP="002C3D74">
      <w:pPr>
        <w:rPr>
          <w:rFonts w:ascii="Arial" w:hAnsi="Arial" w:cs="Arial"/>
          <w:sz w:val="22"/>
          <w:szCs w:val="22"/>
        </w:rPr>
      </w:pPr>
    </w:p>
    <w:p w14:paraId="0774F8F9" w14:textId="13797AD2" w:rsidR="002C3D74" w:rsidRDefault="002C3D74" w:rsidP="002C3D74">
      <w:pPr>
        <w:rPr>
          <w:rFonts w:ascii="Arial" w:hAnsi="Arial" w:cs="Arial"/>
          <w:sz w:val="22"/>
          <w:szCs w:val="22"/>
        </w:rPr>
      </w:pPr>
      <w:r w:rsidRPr="00242A37">
        <w:rPr>
          <w:rFonts w:ascii="Arial" w:hAnsi="Arial" w:cs="Arial"/>
          <w:sz w:val="22"/>
          <w:szCs w:val="22"/>
        </w:rPr>
        <w:t>The inheritance tax nil</w:t>
      </w:r>
      <w:r w:rsidR="001B6BD6" w:rsidRPr="00242A37">
        <w:rPr>
          <w:rFonts w:ascii="Arial" w:hAnsi="Arial" w:cs="Arial"/>
          <w:sz w:val="22"/>
          <w:szCs w:val="22"/>
        </w:rPr>
        <w:t xml:space="preserve"> </w:t>
      </w:r>
      <w:r w:rsidRPr="00242A37">
        <w:rPr>
          <w:rFonts w:ascii="Arial" w:hAnsi="Arial" w:cs="Arial"/>
          <w:sz w:val="22"/>
          <w:szCs w:val="22"/>
        </w:rPr>
        <w:t xml:space="preserve">rate bands are already set at current levels until April 2026 and will stay fixed at these levels for a further </w:t>
      </w:r>
      <w:r w:rsidR="009E564F">
        <w:rPr>
          <w:rFonts w:ascii="Arial" w:hAnsi="Arial" w:cs="Arial"/>
          <w:sz w:val="22"/>
          <w:szCs w:val="22"/>
        </w:rPr>
        <w:t>two</w:t>
      </w:r>
      <w:r w:rsidRPr="00242A37">
        <w:rPr>
          <w:rFonts w:ascii="Arial" w:hAnsi="Arial" w:cs="Arial"/>
          <w:sz w:val="22"/>
          <w:szCs w:val="22"/>
        </w:rPr>
        <w:t xml:space="preserve"> years until April 2028. The nil-rate band will continue at £325,000, </w:t>
      </w:r>
      <w:r w:rsidR="009E564F">
        <w:rPr>
          <w:rFonts w:ascii="Arial" w:hAnsi="Arial" w:cs="Arial"/>
          <w:sz w:val="22"/>
          <w:szCs w:val="22"/>
        </w:rPr>
        <w:t xml:space="preserve">while </w:t>
      </w:r>
      <w:r w:rsidRPr="00242A37">
        <w:rPr>
          <w:rFonts w:ascii="Arial" w:hAnsi="Arial" w:cs="Arial"/>
          <w:sz w:val="22"/>
          <w:szCs w:val="22"/>
        </w:rPr>
        <w:t xml:space="preserve">the residence nil-rate band will continue at £175,000, and the residence nil-rate band taper will continue to start at £2m. </w:t>
      </w:r>
    </w:p>
    <w:p w14:paraId="3A4805F3" w14:textId="77777777" w:rsidR="009E564F" w:rsidRPr="00242A37" w:rsidRDefault="009E564F" w:rsidP="002C3D74">
      <w:pPr>
        <w:rPr>
          <w:rFonts w:ascii="Arial" w:hAnsi="Arial" w:cs="Arial"/>
          <w:sz w:val="22"/>
          <w:szCs w:val="22"/>
        </w:rPr>
      </w:pPr>
    </w:p>
    <w:p w14:paraId="2D8013C4" w14:textId="39F52E9F" w:rsidR="002C3D74" w:rsidRPr="00242A37" w:rsidRDefault="002C3D74" w:rsidP="002C3D74">
      <w:pPr>
        <w:rPr>
          <w:rFonts w:ascii="Arial" w:hAnsi="Arial" w:cs="Arial"/>
          <w:sz w:val="22"/>
          <w:szCs w:val="22"/>
        </w:rPr>
      </w:pPr>
      <w:r w:rsidRPr="00242A37">
        <w:rPr>
          <w:rFonts w:ascii="Arial" w:hAnsi="Arial" w:cs="Arial"/>
          <w:sz w:val="22"/>
          <w:szCs w:val="22"/>
        </w:rPr>
        <w:t xml:space="preserve">Qualifying estates can continue to pass on up to £500,000 and the qualifying estate of a surviving spouse or civil partner can continue to pass on up to £1m without an inheritance tax liability. </w:t>
      </w:r>
    </w:p>
    <w:p w14:paraId="1CC8C224" w14:textId="77777777" w:rsidR="002C3D74" w:rsidRPr="00242A37" w:rsidRDefault="002C3D74" w:rsidP="008A6C25">
      <w:pPr>
        <w:rPr>
          <w:rFonts w:ascii="Arial" w:hAnsi="Arial" w:cs="Arial"/>
          <w:b/>
          <w:bCs/>
          <w:color w:val="404040"/>
          <w:sz w:val="22"/>
          <w:szCs w:val="22"/>
          <w:shd w:val="clear" w:color="auto" w:fill="FFFFFF"/>
        </w:rPr>
      </w:pPr>
    </w:p>
    <w:p w14:paraId="0368B593" w14:textId="79B8AF33" w:rsidR="00A1667E" w:rsidRPr="009E564F" w:rsidRDefault="00A1667E" w:rsidP="00A1667E">
      <w:pPr>
        <w:rPr>
          <w:rFonts w:ascii="Arial" w:hAnsi="Arial" w:cs="Arial"/>
          <w:b/>
          <w:bCs/>
          <w:sz w:val="22"/>
          <w:szCs w:val="22"/>
        </w:rPr>
      </w:pPr>
      <w:r w:rsidRPr="009E564F">
        <w:rPr>
          <w:rFonts w:ascii="Arial" w:hAnsi="Arial" w:cs="Arial"/>
          <w:b/>
          <w:bCs/>
          <w:sz w:val="22"/>
          <w:szCs w:val="22"/>
        </w:rPr>
        <w:t xml:space="preserve">Capital </w:t>
      </w:r>
      <w:r w:rsidR="009E564F">
        <w:rPr>
          <w:rFonts w:ascii="Arial" w:hAnsi="Arial" w:cs="Arial"/>
          <w:b/>
          <w:bCs/>
          <w:sz w:val="22"/>
          <w:szCs w:val="22"/>
        </w:rPr>
        <w:t>g</w:t>
      </w:r>
      <w:r w:rsidRPr="009E564F">
        <w:rPr>
          <w:rFonts w:ascii="Arial" w:hAnsi="Arial" w:cs="Arial"/>
          <w:b/>
          <w:bCs/>
          <w:sz w:val="22"/>
          <w:szCs w:val="22"/>
        </w:rPr>
        <w:t xml:space="preserve">ains </w:t>
      </w:r>
      <w:r w:rsidR="009E564F">
        <w:rPr>
          <w:rFonts w:ascii="Arial" w:hAnsi="Arial" w:cs="Arial"/>
          <w:b/>
          <w:bCs/>
          <w:sz w:val="22"/>
          <w:szCs w:val="22"/>
        </w:rPr>
        <w:t>t</w:t>
      </w:r>
      <w:r w:rsidRPr="009E564F">
        <w:rPr>
          <w:rFonts w:ascii="Arial" w:hAnsi="Arial" w:cs="Arial"/>
          <w:b/>
          <w:bCs/>
          <w:sz w:val="22"/>
          <w:szCs w:val="22"/>
        </w:rPr>
        <w:t xml:space="preserve">ax: reduce the annual exempt amount </w:t>
      </w:r>
    </w:p>
    <w:p w14:paraId="630A7F06" w14:textId="4EAFC810" w:rsidR="00A1667E" w:rsidRDefault="00A1667E" w:rsidP="00A1667E">
      <w:pPr>
        <w:rPr>
          <w:rFonts w:ascii="Arial" w:hAnsi="Arial" w:cs="Arial"/>
          <w:sz w:val="22"/>
          <w:szCs w:val="22"/>
        </w:rPr>
      </w:pPr>
      <w:r w:rsidRPr="009E564F">
        <w:rPr>
          <w:rFonts w:ascii="Arial" w:hAnsi="Arial" w:cs="Arial"/>
          <w:sz w:val="22"/>
          <w:szCs w:val="22"/>
        </w:rPr>
        <w:t xml:space="preserve">The annual exemption amount for capital gains tax </w:t>
      </w:r>
      <w:r w:rsidR="00C7333E">
        <w:rPr>
          <w:rFonts w:ascii="Arial" w:hAnsi="Arial" w:cs="Arial"/>
          <w:sz w:val="22"/>
          <w:szCs w:val="22"/>
        </w:rPr>
        <w:t xml:space="preserve">for individuals </w:t>
      </w:r>
      <w:r w:rsidRPr="009E564F">
        <w:rPr>
          <w:rFonts w:ascii="Arial" w:hAnsi="Arial" w:cs="Arial"/>
          <w:sz w:val="22"/>
          <w:szCs w:val="22"/>
        </w:rPr>
        <w:t xml:space="preserve">will change, from £12,300 to £6,000 from April 2023 then £3,000 from April 2024. </w:t>
      </w:r>
    </w:p>
    <w:p w14:paraId="743EB7D0" w14:textId="77777777" w:rsidR="00B13408" w:rsidRPr="009E564F" w:rsidRDefault="00B13408" w:rsidP="008A6C25">
      <w:pPr>
        <w:rPr>
          <w:rFonts w:ascii="Arial" w:hAnsi="Arial" w:cs="Arial"/>
          <w:b/>
          <w:sz w:val="22"/>
          <w:szCs w:val="22"/>
        </w:rPr>
      </w:pPr>
    </w:p>
    <w:p w14:paraId="65291322" w14:textId="06688EE6" w:rsidR="008A6C25" w:rsidRPr="00242A37" w:rsidRDefault="008A6C25" w:rsidP="008A6C25">
      <w:pPr>
        <w:rPr>
          <w:rFonts w:ascii="Arial" w:hAnsi="Arial" w:cs="Arial"/>
          <w:b/>
          <w:sz w:val="22"/>
          <w:szCs w:val="22"/>
        </w:rPr>
      </w:pPr>
      <w:r w:rsidRPr="00242A37">
        <w:rPr>
          <w:rFonts w:ascii="Arial" w:hAnsi="Arial" w:cs="Arial"/>
          <w:b/>
          <w:sz w:val="22"/>
          <w:szCs w:val="22"/>
        </w:rPr>
        <w:t>SDLT</w:t>
      </w:r>
    </w:p>
    <w:p w14:paraId="35012108" w14:textId="5F0F1DD8" w:rsidR="009E564F" w:rsidRDefault="003762D6" w:rsidP="003762D6">
      <w:pPr>
        <w:rPr>
          <w:rFonts w:ascii="Arial" w:hAnsi="Arial" w:cs="Arial"/>
          <w:sz w:val="22"/>
          <w:szCs w:val="22"/>
        </w:rPr>
      </w:pPr>
      <w:r w:rsidRPr="009E564F">
        <w:rPr>
          <w:rFonts w:ascii="Arial" w:hAnsi="Arial" w:cs="Arial"/>
          <w:bCs/>
          <w:sz w:val="22"/>
          <w:szCs w:val="22"/>
        </w:rPr>
        <w:t xml:space="preserve">Stamp Duty Land Tax </w:t>
      </w:r>
      <w:r w:rsidR="009E564F">
        <w:rPr>
          <w:rFonts w:ascii="Arial" w:hAnsi="Arial" w:cs="Arial"/>
          <w:bCs/>
          <w:sz w:val="22"/>
          <w:szCs w:val="22"/>
        </w:rPr>
        <w:t xml:space="preserve">(SDLT) </w:t>
      </w:r>
      <w:r w:rsidRPr="009E564F">
        <w:rPr>
          <w:rFonts w:ascii="Arial" w:hAnsi="Arial" w:cs="Arial"/>
          <w:bCs/>
          <w:sz w:val="22"/>
          <w:szCs w:val="22"/>
        </w:rPr>
        <w:t>cuts</w:t>
      </w:r>
      <w:r w:rsidRPr="009E564F">
        <w:rPr>
          <w:rFonts w:ascii="Arial" w:hAnsi="Arial" w:cs="Arial"/>
          <w:sz w:val="22"/>
          <w:szCs w:val="22"/>
        </w:rPr>
        <w:t xml:space="preserve"> </w:t>
      </w:r>
      <w:r w:rsidR="00C7333E">
        <w:rPr>
          <w:rFonts w:ascii="Arial" w:hAnsi="Arial" w:cs="Arial"/>
          <w:sz w:val="22"/>
          <w:szCs w:val="22"/>
        </w:rPr>
        <w:t xml:space="preserve">for England and Northern Ireland </w:t>
      </w:r>
      <w:r w:rsidRPr="009E564F">
        <w:rPr>
          <w:rFonts w:ascii="Arial" w:hAnsi="Arial" w:cs="Arial"/>
          <w:bCs/>
          <w:sz w:val="22"/>
          <w:szCs w:val="22"/>
        </w:rPr>
        <w:t>will remain in place until 31 March 2025</w:t>
      </w:r>
      <w:r w:rsidR="009E564F">
        <w:rPr>
          <w:rFonts w:ascii="Arial" w:hAnsi="Arial" w:cs="Arial"/>
          <w:bCs/>
          <w:sz w:val="22"/>
          <w:szCs w:val="22"/>
        </w:rPr>
        <w:t>.</w:t>
      </w:r>
      <w:r w:rsidRPr="009E564F">
        <w:rPr>
          <w:rFonts w:ascii="Arial" w:hAnsi="Arial" w:cs="Arial"/>
          <w:sz w:val="22"/>
          <w:szCs w:val="22"/>
        </w:rPr>
        <w:t xml:space="preserve"> On 23 September 2022, </w:t>
      </w:r>
      <w:r w:rsidRPr="00242A37">
        <w:rPr>
          <w:rFonts w:ascii="Arial" w:hAnsi="Arial" w:cs="Arial"/>
          <w:sz w:val="22"/>
          <w:szCs w:val="22"/>
        </w:rPr>
        <w:t xml:space="preserve">the government increased the nil-rate threshold of </w:t>
      </w:r>
      <w:r w:rsidR="009E564F">
        <w:rPr>
          <w:rFonts w:ascii="Arial" w:hAnsi="Arial" w:cs="Arial"/>
          <w:sz w:val="22"/>
          <w:szCs w:val="22"/>
        </w:rPr>
        <w:t>SDL</w:t>
      </w:r>
      <w:r w:rsidRPr="00242A37">
        <w:rPr>
          <w:rFonts w:ascii="Arial" w:hAnsi="Arial" w:cs="Arial"/>
          <w:sz w:val="22"/>
          <w:szCs w:val="22"/>
        </w:rPr>
        <w:t>T from £125,000 to £250,000 for all purchasers of residential property in England and Northern Ireland and increased the nil-rate threshold paid by first-time buyers from £300,000 to £425,000.</w:t>
      </w:r>
    </w:p>
    <w:p w14:paraId="744F407E" w14:textId="2D3713D8" w:rsidR="003762D6" w:rsidRPr="00242A37" w:rsidRDefault="003762D6" w:rsidP="003762D6">
      <w:pPr>
        <w:rPr>
          <w:rFonts w:ascii="Arial" w:hAnsi="Arial" w:cs="Arial"/>
          <w:sz w:val="22"/>
          <w:szCs w:val="22"/>
        </w:rPr>
      </w:pPr>
      <w:r w:rsidRPr="00242A37">
        <w:rPr>
          <w:rFonts w:ascii="Arial" w:hAnsi="Arial" w:cs="Arial"/>
          <w:sz w:val="22"/>
          <w:szCs w:val="22"/>
        </w:rPr>
        <w:t xml:space="preserve"> </w:t>
      </w:r>
    </w:p>
    <w:p w14:paraId="172746B0" w14:textId="77777777" w:rsidR="00724174" w:rsidRDefault="003762D6" w:rsidP="003762D6">
      <w:pPr>
        <w:rPr>
          <w:rFonts w:ascii="Arial" w:hAnsi="Arial" w:cs="Arial"/>
          <w:sz w:val="22"/>
          <w:szCs w:val="22"/>
        </w:rPr>
      </w:pPr>
      <w:r w:rsidRPr="00242A37">
        <w:rPr>
          <w:rFonts w:ascii="Arial" w:hAnsi="Arial" w:cs="Arial"/>
          <w:sz w:val="22"/>
          <w:szCs w:val="22"/>
        </w:rPr>
        <w:t>The maximum purchase price for which First Time Buyers’ Relief can be claimed was increased from £500,000 to £625,000. This will now be a temporary SDLT reduction</w:t>
      </w:r>
      <w:r w:rsidR="00724174">
        <w:rPr>
          <w:rFonts w:ascii="Arial" w:hAnsi="Arial" w:cs="Arial"/>
          <w:sz w:val="22"/>
          <w:szCs w:val="22"/>
        </w:rPr>
        <w:t xml:space="preserve"> which </w:t>
      </w:r>
      <w:r w:rsidRPr="00242A37">
        <w:rPr>
          <w:rFonts w:ascii="Arial" w:hAnsi="Arial" w:cs="Arial"/>
          <w:sz w:val="22"/>
          <w:szCs w:val="22"/>
        </w:rPr>
        <w:t xml:space="preserve">will remain in place </w:t>
      </w:r>
      <w:r w:rsidR="00724174">
        <w:rPr>
          <w:rFonts w:ascii="Arial" w:hAnsi="Arial" w:cs="Arial"/>
          <w:sz w:val="22"/>
          <w:szCs w:val="22"/>
        </w:rPr>
        <w:t xml:space="preserve">only </w:t>
      </w:r>
      <w:r w:rsidRPr="00242A37">
        <w:rPr>
          <w:rFonts w:ascii="Arial" w:hAnsi="Arial" w:cs="Arial"/>
          <w:sz w:val="22"/>
          <w:szCs w:val="22"/>
        </w:rPr>
        <w:t>until 31 March 2025</w:t>
      </w:r>
      <w:r w:rsidR="00724174">
        <w:rPr>
          <w:rFonts w:ascii="Arial" w:hAnsi="Arial" w:cs="Arial"/>
          <w:sz w:val="22"/>
          <w:szCs w:val="22"/>
        </w:rPr>
        <w:t>.</w:t>
      </w:r>
    </w:p>
    <w:p w14:paraId="516DA291" w14:textId="77777777" w:rsidR="00E6767D" w:rsidRPr="00242A37" w:rsidRDefault="00E6767D" w:rsidP="008A6C25">
      <w:pPr>
        <w:rPr>
          <w:rFonts w:ascii="Arial" w:hAnsi="Arial" w:cs="Arial"/>
          <w:sz w:val="22"/>
          <w:szCs w:val="22"/>
          <w:highlight w:val="yellow"/>
        </w:rPr>
      </w:pPr>
    </w:p>
    <w:p w14:paraId="73C957E5" w14:textId="77777777" w:rsidR="00166863" w:rsidRPr="00242A37" w:rsidRDefault="00166863" w:rsidP="00166863">
      <w:pPr>
        <w:pStyle w:val="NoSpacing"/>
        <w:rPr>
          <w:rFonts w:ascii="Arial" w:hAnsi="Arial" w:cs="Arial"/>
          <w:b/>
          <w:bCs/>
        </w:rPr>
      </w:pPr>
      <w:r w:rsidRPr="00242A37">
        <w:rPr>
          <w:rFonts w:ascii="Arial" w:hAnsi="Arial" w:cs="Arial"/>
          <w:b/>
          <w:bCs/>
        </w:rPr>
        <w:t>Corporation tax</w:t>
      </w:r>
    </w:p>
    <w:p w14:paraId="0E3DE787" w14:textId="77777777" w:rsidR="00166863" w:rsidRDefault="00166863" w:rsidP="00166863">
      <w:pPr>
        <w:rPr>
          <w:rFonts w:ascii="Arial" w:hAnsi="Arial" w:cs="Arial"/>
          <w:sz w:val="22"/>
          <w:szCs w:val="22"/>
        </w:rPr>
      </w:pPr>
      <w:r w:rsidRPr="00242A37">
        <w:rPr>
          <w:rFonts w:ascii="Arial" w:hAnsi="Arial" w:cs="Arial"/>
          <w:sz w:val="22"/>
          <w:szCs w:val="22"/>
        </w:rPr>
        <w:t xml:space="preserve">From April 2023, the planned increase in the </w:t>
      </w:r>
      <w:r>
        <w:rPr>
          <w:rFonts w:ascii="Arial" w:hAnsi="Arial" w:cs="Arial"/>
          <w:sz w:val="22"/>
          <w:szCs w:val="22"/>
        </w:rPr>
        <w:t>c</w:t>
      </w:r>
      <w:r w:rsidRPr="00242A37">
        <w:rPr>
          <w:rFonts w:ascii="Arial" w:hAnsi="Arial" w:cs="Arial"/>
          <w:sz w:val="22"/>
          <w:szCs w:val="22"/>
        </w:rPr>
        <w:t xml:space="preserve">orporation </w:t>
      </w:r>
      <w:r>
        <w:rPr>
          <w:rFonts w:ascii="Arial" w:hAnsi="Arial" w:cs="Arial"/>
          <w:sz w:val="22"/>
          <w:szCs w:val="22"/>
        </w:rPr>
        <w:t>t</w:t>
      </w:r>
      <w:r w:rsidRPr="00242A37">
        <w:rPr>
          <w:rFonts w:ascii="Arial" w:hAnsi="Arial" w:cs="Arial"/>
          <w:sz w:val="22"/>
          <w:szCs w:val="22"/>
        </w:rPr>
        <w:t>ax rate to 25% for companies with over £250,000 in profits will go ahead. Small companies with profits up to £50,000 will continue to pay corporation tax at 19%.</w:t>
      </w:r>
    </w:p>
    <w:p w14:paraId="77E7D8EB" w14:textId="77777777" w:rsidR="00166863" w:rsidRPr="00242A37" w:rsidRDefault="00166863" w:rsidP="00166863">
      <w:pPr>
        <w:rPr>
          <w:rFonts w:ascii="Arial" w:hAnsi="Arial" w:cs="Arial"/>
          <w:sz w:val="22"/>
          <w:szCs w:val="22"/>
        </w:rPr>
      </w:pPr>
    </w:p>
    <w:p w14:paraId="14799607" w14:textId="77777777" w:rsidR="00166863" w:rsidRDefault="00166863" w:rsidP="00166863">
      <w:pPr>
        <w:rPr>
          <w:rFonts w:ascii="Arial" w:hAnsi="Arial" w:cs="Arial"/>
          <w:sz w:val="22"/>
          <w:szCs w:val="22"/>
        </w:rPr>
      </w:pPr>
      <w:r w:rsidRPr="00242A37">
        <w:rPr>
          <w:rFonts w:ascii="Arial" w:hAnsi="Arial" w:cs="Arial"/>
          <w:sz w:val="22"/>
          <w:szCs w:val="22"/>
        </w:rPr>
        <w:t xml:space="preserve">Companies with profits between £50,000 and £250,000 will pay tax at the main rate reduced by a marginal relief providing a gradual increase in the effective </w:t>
      </w:r>
      <w:r>
        <w:rPr>
          <w:rFonts w:ascii="Arial" w:hAnsi="Arial" w:cs="Arial"/>
          <w:sz w:val="22"/>
          <w:szCs w:val="22"/>
        </w:rPr>
        <w:t>c</w:t>
      </w:r>
      <w:r w:rsidRPr="00242A37">
        <w:rPr>
          <w:rFonts w:ascii="Arial" w:hAnsi="Arial" w:cs="Arial"/>
          <w:sz w:val="22"/>
          <w:szCs w:val="22"/>
        </w:rPr>
        <w:t xml:space="preserve">orporation </w:t>
      </w:r>
      <w:r>
        <w:rPr>
          <w:rFonts w:ascii="Arial" w:hAnsi="Arial" w:cs="Arial"/>
          <w:sz w:val="22"/>
          <w:szCs w:val="22"/>
        </w:rPr>
        <w:t>t</w:t>
      </w:r>
      <w:r w:rsidRPr="00242A37">
        <w:rPr>
          <w:rFonts w:ascii="Arial" w:hAnsi="Arial" w:cs="Arial"/>
          <w:sz w:val="22"/>
          <w:szCs w:val="22"/>
        </w:rPr>
        <w:t xml:space="preserve">ax rate. </w:t>
      </w:r>
    </w:p>
    <w:p w14:paraId="177D3854" w14:textId="77777777" w:rsidR="00166863" w:rsidRPr="00242A37" w:rsidRDefault="00166863" w:rsidP="00166863">
      <w:pPr>
        <w:rPr>
          <w:rFonts w:ascii="Arial" w:hAnsi="Arial" w:cs="Arial"/>
          <w:sz w:val="22"/>
          <w:szCs w:val="22"/>
        </w:rPr>
      </w:pPr>
    </w:p>
    <w:p w14:paraId="39E6A151" w14:textId="77777777" w:rsidR="00166863" w:rsidRDefault="00166863" w:rsidP="00166863">
      <w:pPr>
        <w:rPr>
          <w:rFonts w:ascii="Arial" w:hAnsi="Arial" w:cs="Arial"/>
          <w:b/>
          <w:bCs/>
          <w:sz w:val="22"/>
          <w:szCs w:val="22"/>
        </w:rPr>
      </w:pPr>
      <w:r>
        <w:rPr>
          <w:rFonts w:ascii="Arial" w:hAnsi="Arial" w:cs="Arial"/>
          <w:b/>
          <w:bCs/>
          <w:sz w:val="22"/>
          <w:szCs w:val="22"/>
        </w:rPr>
        <w:t>Annual Investment Allowances</w:t>
      </w:r>
    </w:p>
    <w:p w14:paraId="5FC7801C" w14:textId="77777777" w:rsidR="00166863" w:rsidRDefault="00166863" w:rsidP="00166863">
      <w:pPr>
        <w:rPr>
          <w:rFonts w:ascii="Arial" w:hAnsi="Arial" w:cs="Arial"/>
          <w:sz w:val="22"/>
          <w:szCs w:val="22"/>
        </w:rPr>
      </w:pPr>
      <w:r w:rsidRPr="00FE6851">
        <w:rPr>
          <w:rFonts w:ascii="Arial" w:hAnsi="Arial" w:cs="Arial"/>
          <w:sz w:val="22"/>
          <w:szCs w:val="22"/>
        </w:rPr>
        <w:t xml:space="preserve">Annual Investment Allowance </w:t>
      </w:r>
      <w:r>
        <w:rPr>
          <w:rFonts w:ascii="Arial" w:hAnsi="Arial" w:cs="Arial"/>
          <w:sz w:val="22"/>
          <w:szCs w:val="22"/>
        </w:rPr>
        <w:t xml:space="preserve">has been </w:t>
      </w:r>
      <w:r w:rsidRPr="00FE6851">
        <w:rPr>
          <w:rFonts w:ascii="Arial" w:hAnsi="Arial" w:cs="Arial"/>
          <w:sz w:val="22"/>
          <w:szCs w:val="22"/>
        </w:rPr>
        <w:t>confirmed at a permanent rate of £1 million from 1 April 2023</w:t>
      </w:r>
      <w:r>
        <w:rPr>
          <w:rFonts w:ascii="Arial" w:hAnsi="Arial" w:cs="Arial"/>
          <w:sz w:val="22"/>
          <w:szCs w:val="22"/>
        </w:rPr>
        <w:t>.</w:t>
      </w:r>
    </w:p>
    <w:p w14:paraId="038A8A4B" w14:textId="77777777" w:rsidR="00166863" w:rsidRDefault="00166863" w:rsidP="00166863">
      <w:pPr>
        <w:rPr>
          <w:rFonts w:ascii="Arial" w:hAnsi="Arial" w:cs="Arial"/>
          <w:sz w:val="22"/>
          <w:szCs w:val="22"/>
        </w:rPr>
      </w:pPr>
    </w:p>
    <w:p w14:paraId="74E803BC" w14:textId="77777777" w:rsidR="00166863" w:rsidRPr="00091952" w:rsidRDefault="00166863" w:rsidP="00166863">
      <w:pPr>
        <w:rPr>
          <w:rFonts w:ascii="Arial" w:hAnsi="Arial" w:cs="Arial"/>
          <w:b/>
          <w:bCs/>
          <w:sz w:val="22"/>
          <w:szCs w:val="22"/>
        </w:rPr>
      </w:pPr>
      <w:r w:rsidRPr="00091952">
        <w:rPr>
          <w:rFonts w:ascii="Arial" w:hAnsi="Arial" w:cs="Arial"/>
          <w:b/>
          <w:bCs/>
          <w:sz w:val="22"/>
          <w:szCs w:val="22"/>
        </w:rPr>
        <w:lastRenderedPageBreak/>
        <w:t>Research &amp; Development</w:t>
      </w:r>
    </w:p>
    <w:p w14:paraId="03E42EC0" w14:textId="77777777" w:rsidR="00166863" w:rsidRPr="00091952" w:rsidRDefault="00166863" w:rsidP="00166863">
      <w:pPr>
        <w:rPr>
          <w:rFonts w:ascii="Arial" w:hAnsi="Arial" w:cs="Arial"/>
          <w:sz w:val="22"/>
          <w:szCs w:val="22"/>
        </w:rPr>
      </w:pPr>
      <w:r w:rsidRPr="00091952">
        <w:rPr>
          <w:rFonts w:ascii="Arial" w:hAnsi="Arial" w:cs="Arial"/>
          <w:sz w:val="22"/>
          <w:szCs w:val="22"/>
        </w:rPr>
        <w:t>For expenditure incurred on or after 1 April 2023, Research and Development (R&amp;D) tax reliefs will be changed as follows:</w:t>
      </w:r>
    </w:p>
    <w:p w14:paraId="63E21B25" w14:textId="77777777" w:rsidR="00166863" w:rsidRPr="00091952" w:rsidRDefault="00166863" w:rsidP="00166863">
      <w:pPr>
        <w:rPr>
          <w:rFonts w:ascii="Arial" w:hAnsi="Arial" w:cs="Arial"/>
          <w:sz w:val="22"/>
          <w:szCs w:val="22"/>
        </w:rPr>
      </w:pPr>
    </w:p>
    <w:p w14:paraId="74383866" w14:textId="77777777" w:rsidR="00166863" w:rsidRPr="00605E8B" w:rsidRDefault="00166863" w:rsidP="00166863">
      <w:pPr>
        <w:pStyle w:val="ListParagraph"/>
        <w:numPr>
          <w:ilvl w:val="0"/>
          <w:numId w:val="45"/>
        </w:numPr>
        <w:spacing w:after="0" w:line="240" w:lineRule="auto"/>
        <w:rPr>
          <w:rFonts w:ascii="Arial" w:hAnsi="Arial" w:cs="Arial"/>
        </w:rPr>
      </w:pPr>
      <w:r w:rsidRPr="00605E8B">
        <w:rPr>
          <w:rFonts w:ascii="Arial" w:hAnsi="Arial" w:cs="Arial"/>
        </w:rPr>
        <w:t xml:space="preserve">the small and medium-sized enterprises (SME) additional deduction will decrease from 130% to 86% </w:t>
      </w:r>
    </w:p>
    <w:p w14:paraId="2BD898B7" w14:textId="77777777" w:rsidR="00166863" w:rsidRPr="00605E8B" w:rsidRDefault="00166863" w:rsidP="00166863">
      <w:pPr>
        <w:pStyle w:val="ListParagraph"/>
        <w:numPr>
          <w:ilvl w:val="0"/>
          <w:numId w:val="45"/>
        </w:numPr>
        <w:spacing w:after="0" w:line="240" w:lineRule="auto"/>
        <w:rPr>
          <w:rFonts w:ascii="Arial" w:hAnsi="Arial" w:cs="Arial"/>
        </w:rPr>
      </w:pPr>
      <w:r w:rsidRPr="00605E8B">
        <w:rPr>
          <w:rFonts w:ascii="Arial" w:hAnsi="Arial" w:cs="Arial"/>
        </w:rPr>
        <w:t xml:space="preserve">the SME credit rate will decrease from 14.5% to 10% and </w:t>
      </w:r>
    </w:p>
    <w:p w14:paraId="2F678178" w14:textId="77777777" w:rsidR="00166863" w:rsidRPr="00605E8B" w:rsidRDefault="00166863" w:rsidP="00166863">
      <w:pPr>
        <w:pStyle w:val="ListParagraph"/>
        <w:numPr>
          <w:ilvl w:val="0"/>
          <w:numId w:val="45"/>
        </w:numPr>
        <w:spacing w:after="0" w:line="240" w:lineRule="auto"/>
        <w:rPr>
          <w:rFonts w:ascii="Arial" w:hAnsi="Arial" w:cs="Arial"/>
        </w:rPr>
      </w:pPr>
      <w:r w:rsidRPr="00605E8B">
        <w:rPr>
          <w:rFonts w:ascii="Arial" w:hAnsi="Arial" w:cs="Arial"/>
        </w:rPr>
        <w:t xml:space="preserve">R&amp;D expenditure credit rises from 13% to 20%. </w:t>
      </w:r>
    </w:p>
    <w:p w14:paraId="13A4953A" w14:textId="77777777" w:rsidR="00166863" w:rsidRDefault="00166863" w:rsidP="00166863">
      <w:pPr>
        <w:rPr>
          <w:rFonts w:ascii="Arial" w:hAnsi="Arial" w:cs="Arial"/>
          <w:b/>
          <w:bCs/>
          <w:sz w:val="22"/>
          <w:szCs w:val="22"/>
          <w:shd w:val="clear" w:color="auto" w:fill="FFFFFF"/>
        </w:rPr>
      </w:pPr>
    </w:p>
    <w:p w14:paraId="7464EC58" w14:textId="08508254" w:rsidR="00166863" w:rsidRPr="009E564F" w:rsidRDefault="00166863" w:rsidP="00166863">
      <w:pPr>
        <w:rPr>
          <w:rFonts w:ascii="Arial" w:hAnsi="Arial" w:cs="Arial"/>
          <w:b/>
          <w:bCs/>
          <w:sz w:val="22"/>
          <w:szCs w:val="22"/>
          <w:shd w:val="clear" w:color="auto" w:fill="FFFFFF"/>
        </w:rPr>
      </w:pPr>
      <w:r w:rsidRPr="009E564F">
        <w:rPr>
          <w:rFonts w:ascii="Arial" w:hAnsi="Arial" w:cs="Arial"/>
          <w:b/>
          <w:bCs/>
          <w:sz w:val="22"/>
          <w:szCs w:val="22"/>
          <w:shd w:val="clear" w:color="auto" w:fill="FFFFFF"/>
        </w:rPr>
        <w:t>Car tax</w:t>
      </w:r>
    </w:p>
    <w:p w14:paraId="5ECBDE62" w14:textId="77777777" w:rsidR="00166863" w:rsidRDefault="00166863" w:rsidP="00166863">
      <w:pPr>
        <w:rPr>
          <w:rFonts w:ascii="Arial" w:hAnsi="Arial" w:cs="Arial"/>
          <w:sz w:val="22"/>
          <w:szCs w:val="22"/>
          <w:shd w:val="clear" w:color="auto" w:fill="FFFFFF"/>
        </w:rPr>
      </w:pPr>
      <w:r w:rsidRPr="009E564F">
        <w:rPr>
          <w:rFonts w:ascii="Arial" w:hAnsi="Arial" w:cs="Arial"/>
          <w:sz w:val="22"/>
          <w:szCs w:val="22"/>
          <w:shd w:val="clear" w:color="auto" w:fill="FFFFFF"/>
        </w:rPr>
        <w:t xml:space="preserve">The </w:t>
      </w:r>
      <w:r>
        <w:rPr>
          <w:rFonts w:ascii="Arial" w:hAnsi="Arial" w:cs="Arial"/>
          <w:sz w:val="22"/>
          <w:szCs w:val="22"/>
          <w:shd w:val="clear" w:color="auto" w:fill="FFFFFF"/>
        </w:rPr>
        <w:t>c</w:t>
      </w:r>
      <w:r w:rsidRPr="009E564F">
        <w:rPr>
          <w:rFonts w:ascii="Arial" w:hAnsi="Arial" w:cs="Arial"/>
          <w:sz w:val="22"/>
          <w:szCs w:val="22"/>
          <w:shd w:val="clear" w:color="auto" w:fill="FFFFFF"/>
        </w:rPr>
        <w:t>hancellor has announced electric vehicles will no longer be exempt from Vehicle Excise Duty from April 2025.</w:t>
      </w:r>
      <w:r>
        <w:rPr>
          <w:rFonts w:ascii="Arial" w:hAnsi="Arial" w:cs="Arial"/>
          <w:sz w:val="22"/>
          <w:szCs w:val="22"/>
          <w:shd w:val="clear" w:color="auto" w:fill="FFFFFF"/>
        </w:rPr>
        <w:t xml:space="preserve"> </w:t>
      </w:r>
    </w:p>
    <w:p w14:paraId="4E1F3D87" w14:textId="77777777" w:rsidR="00166863" w:rsidRDefault="00166863" w:rsidP="00166863">
      <w:pPr>
        <w:rPr>
          <w:rFonts w:ascii="Arial" w:hAnsi="Arial" w:cs="Arial"/>
          <w:sz w:val="22"/>
          <w:szCs w:val="22"/>
          <w:shd w:val="clear" w:color="auto" w:fill="FFFFFF"/>
        </w:rPr>
      </w:pPr>
    </w:p>
    <w:p w14:paraId="1F883B69" w14:textId="77777777" w:rsidR="00166863" w:rsidRDefault="00166863" w:rsidP="00166863">
      <w:pPr>
        <w:pStyle w:val="NormalWeb"/>
        <w:shd w:val="clear" w:color="auto" w:fill="FFFFFF"/>
        <w:spacing w:before="0" w:beforeAutospacing="0" w:after="0" w:afterAutospacing="0"/>
        <w:rPr>
          <w:rFonts w:ascii="Arial" w:hAnsi="Arial" w:cs="Arial"/>
          <w:sz w:val="22"/>
          <w:szCs w:val="22"/>
          <w:shd w:val="clear" w:color="auto" w:fill="FFFFFF"/>
          <w:lang w:eastAsia="en-US"/>
        </w:rPr>
      </w:pPr>
      <w:r w:rsidRPr="00ED0C53">
        <w:rPr>
          <w:rFonts w:ascii="Arial" w:hAnsi="Arial" w:cs="Arial"/>
          <w:sz w:val="22"/>
          <w:szCs w:val="22"/>
          <w:shd w:val="clear" w:color="auto" w:fill="FFFFFF"/>
          <w:lang w:eastAsia="en-US"/>
        </w:rPr>
        <w:t>Company car taxes are under review</w:t>
      </w:r>
      <w:r>
        <w:rPr>
          <w:rFonts w:ascii="Arial" w:hAnsi="Arial" w:cs="Arial"/>
          <w:sz w:val="22"/>
          <w:szCs w:val="22"/>
          <w:shd w:val="clear" w:color="auto" w:fill="FFFFFF"/>
          <w:lang w:eastAsia="en-US"/>
        </w:rPr>
        <w:t xml:space="preserve"> and </w:t>
      </w:r>
      <w:r w:rsidRPr="00ED0C53">
        <w:rPr>
          <w:rFonts w:ascii="Arial" w:hAnsi="Arial" w:cs="Arial"/>
          <w:sz w:val="22"/>
          <w:szCs w:val="22"/>
          <w:shd w:val="clear" w:color="auto" w:fill="FFFFFF"/>
          <w:lang w:eastAsia="en-US"/>
        </w:rPr>
        <w:t>are going to be set up until April 2028 to provide long term certainty for taxpayers and industry in Autumn Finance Bill 2022. Rates will continue to incentivise the take up of electric vehicles:</w:t>
      </w:r>
    </w:p>
    <w:p w14:paraId="485BFD0A" w14:textId="77777777" w:rsidR="00166863" w:rsidRDefault="00166863" w:rsidP="00166863">
      <w:pPr>
        <w:pStyle w:val="NormalWeb"/>
        <w:numPr>
          <w:ilvl w:val="0"/>
          <w:numId w:val="43"/>
        </w:numPr>
        <w:shd w:val="clear" w:color="auto" w:fill="FFFFFF"/>
        <w:spacing w:before="0" w:beforeAutospacing="0" w:after="0" w:afterAutospacing="0"/>
        <w:rPr>
          <w:rFonts w:ascii="Arial" w:hAnsi="Arial" w:cs="Arial"/>
          <w:sz w:val="22"/>
          <w:szCs w:val="22"/>
          <w:shd w:val="clear" w:color="auto" w:fill="FFFFFF"/>
          <w:lang w:eastAsia="en-US"/>
        </w:rPr>
      </w:pPr>
      <w:r w:rsidRPr="00ED0C53">
        <w:rPr>
          <w:rFonts w:ascii="Arial" w:hAnsi="Arial" w:cs="Arial"/>
          <w:sz w:val="22"/>
          <w:szCs w:val="22"/>
          <w:shd w:val="clear" w:color="auto" w:fill="FFFFFF"/>
          <w:lang w:eastAsia="en-US"/>
        </w:rPr>
        <w:t xml:space="preserve">appropriate percentages for electric and ultra-low emission cars emitting less than 75g of </w:t>
      </w:r>
      <w:proofErr w:type="gramStart"/>
      <w:r w:rsidRPr="00ED0C53">
        <w:rPr>
          <w:rFonts w:ascii="Arial" w:hAnsi="Arial" w:cs="Arial"/>
          <w:sz w:val="22"/>
          <w:szCs w:val="22"/>
          <w:shd w:val="clear" w:color="auto" w:fill="FFFFFF"/>
          <w:lang w:eastAsia="en-US"/>
        </w:rPr>
        <w:t>CO2  per</w:t>
      </w:r>
      <w:proofErr w:type="gramEnd"/>
      <w:r w:rsidRPr="00ED0C53">
        <w:rPr>
          <w:rFonts w:ascii="Arial" w:hAnsi="Arial" w:cs="Arial"/>
          <w:sz w:val="22"/>
          <w:szCs w:val="22"/>
          <w:shd w:val="clear" w:color="auto" w:fill="FFFFFF"/>
          <w:lang w:eastAsia="en-US"/>
        </w:rPr>
        <w:t xml:space="preserve"> kilometre will increase by 1 percentage point in 2025-26; a further 1% in 2026-27 and a further 1% in 2027-28 up to a maximum appropriate percentage of 5% for electric cars and 21% for ultra-low emission cars</w:t>
      </w:r>
    </w:p>
    <w:p w14:paraId="0C0756EE" w14:textId="77777777" w:rsidR="00166863" w:rsidRPr="00ED0C53" w:rsidRDefault="00166863" w:rsidP="00166863">
      <w:pPr>
        <w:pStyle w:val="NormalWeb"/>
        <w:numPr>
          <w:ilvl w:val="0"/>
          <w:numId w:val="43"/>
        </w:numPr>
        <w:shd w:val="clear" w:color="auto" w:fill="FFFFFF"/>
        <w:spacing w:before="0" w:beforeAutospacing="0" w:after="0" w:afterAutospacing="0"/>
        <w:rPr>
          <w:rFonts w:ascii="Arial" w:hAnsi="Arial" w:cs="Arial"/>
          <w:sz w:val="22"/>
          <w:szCs w:val="22"/>
          <w:shd w:val="clear" w:color="auto" w:fill="FFFFFF"/>
          <w:lang w:eastAsia="en-US"/>
        </w:rPr>
      </w:pPr>
      <w:r w:rsidRPr="00ED0C53">
        <w:rPr>
          <w:rFonts w:ascii="Arial" w:hAnsi="Arial" w:cs="Arial"/>
          <w:sz w:val="22"/>
          <w:szCs w:val="22"/>
          <w:shd w:val="clear" w:color="auto" w:fill="FFFFFF"/>
          <w:lang w:eastAsia="en-US"/>
        </w:rPr>
        <w:t>rates for all other vehicles bands will be increased by 1 percentage point for 2025-26 up to a maximum appropriate percentage of 37% and will then be fixed in 2026-27 and 2027-28.</w:t>
      </w:r>
    </w:p>
    <w:p w14:paraId="109EAA53" w14:textId="77777777" w:rsidR="00166863" w:rsidRPr="00EA10C7" w:rsidRDefault="00166863" w:rsidP="00166863">
      <w:pPr>
        <w:rPr>
          <w:rFonts w:ascii="Arial" w:hAnsi="Arial" w:cs="Arial"/>
          <w:color w:val="404040"/>
          <w:shd w:val="clear" w:color="auto" w:fill="FFFFFF"/>
        </w:rPr>
      </w:pPr>
    </w:p>
    <w:p w14:paraId="385C9752" w14:textId="77777777" w:rsidR="00166863" w:rsidRPr="009E564F" w:rsidRDefault="00166863" w:rsidP="00166863">
      <w:pPr>
        <w:rPr>
          <w:rFonts w:ascii="Arial" w:hAnsi="Arial" w:cs="Arial"/>
          <w:b/>
          <w:bCs/>
          <w:sz w:val="22"/>
          <w:szCs w:val="22"/>
        </w:rPr>
      </w:pPr>
      <w:r w:rsidRPr="009E564F">
        <w:rPr>
          <w:rFonts w:ascii="Arial" w:hAnsi="Arial" w:cs="Arial"/>
          <w:b/>
          <w:bCs/>
          <w:sz w:val="22"/>
          <w:szCs w:val="22"/>
        </w:rPr>
        <w:t>VAT</w:t>
      </w:r>
    </w:p>
    <w:p w14:paraId="5325EE38" w14:textId="77777777" w:rsidR="00166863" w:rsidRDefault="00166863" w:rsidP="00166863">
      <w:pPr>
        <w:rPr>
          <w:rFonts w:ascii="Arial" w:hAnsi="Arial" w:cs="Arial"/>
          <w:sz w:val="22"/>
          <w:szCs w:val="22"/>
        </w:rPr>
      </w:pPr>
      <w:r w:rsidRPr="009E564F">
        <w:rPr>
          <w:rFonts w:ascii="Arial" w:hAnsi="Arial" w:cs="Arial"/>
          <w:sz w:val="22"/>
          <w:szCs w:val="22"/>
        </w:rPr>
        <w:t xml:space="preserve">The VAT registration and deregistration thresholds </w:t>
      </w:r>
      <w:r>
        <w:rPr>
          <w:rFonts w:ascii="Arial" w:hAnsi="Arial" w:cs="Arial"/>
          <w:sz w:val="22"/>
          <w:szCs w:val="22"/>
        </w:rPr>
        <w:t xml:space="preserve">at </w:t>
      </w:r>
      <w:r w:rsidRPr="009E564F">
        <w:rPr>
          <w:rFonts w:ascii="Arial" w:hAnsi="Arial" w:cs="Arial"/>
          <w:sz w:val="22"/>
          <w:szCs w:val="22"/>
        </w:rPr>
        <w:t>£85,000</w:t>
      </w:r>
      <w:r>
        <w:rPr>
          <w:rFonts w:ascii="Arial" w:hAnsi="Arial" w:cs="Arial"/>
          <w:sz w:val="22"/>
          <w:szCs w:val="22"/>
        </w:rPr>
        <w:t xml:space="preserve"> </w:t>
      </w:r>
      <w:r w:rsidRPr="009E564F">
        <w:rPr>
          <w:rFonts w:ascii="Arial" w:hAnsi="Arial" w:cs="Arial"/>
          <w:sz w:val="22"/>
          <w:szCs w:val="22"/>
        </w:rPr>
        <w:t xml:space="preserve">will not change for a further period of </w:t>
      </w:r>
      <w:r>
        <w:rPr>
          <w:rFonts w:ascii="Arial" w:hAnsi="Arial" w:cs="Arial"/>
          <w:sz w:val="22"/>
          <w:szCs w:val="22"/>
        </w:rPr>
        <w:t>two</w:t>
      </w:r>
      <w:r w:rsidRPr="009E564F">
        <w:rPr>
          <w:rFonts w:ascii="Arial" w:hAnsi="Arial" w:cs="Arial"/>
          <w:sz w:val="22"/>
          <w:szCs w:val="22"/>
        </w:rPr>
        <w:t xml:space="preserve"> years from 1 April 2024</w:t>
      </w:r>
      <w:r>
        <w:rPr>
          <w:rFonts w:ascii="Arial" w:hAnsi="Arial" w:cs="Arial"/>
          <w:sz w:val="22"/>
          <w:szCs w:val="22"/>
        </w:rPr>
        <w:t>.</w:t>
      </w:r>
    </w:p>
    <w:p w14:paraId="263C5A67" w14:textId="77777777" w:rsidR="00166863" w:rsidRDefault="00166863" w:rsidP="002E0497">
      <w:pPr>
        <w:pStyle w:val="NoSpacing"/>
        <w:rPr>
          <w:rFonts w:ascii="Arial" w:hAnsi="Arial" w:cs="Arial"/>
          <w:b/>
          <w:bCs/>
        </w:rPr>
      </w:pPr>
    </w:p>
    <w:p w14:paraId="27E8B730" w14:textId="0843A5CD" w:rsidR="00724174" w:rsidRDefault="00724174" w:rsidP="002E0497">
      <w:pPr>
        <w:pStyle w:val="NoSpacing"/>
        <w:rPr>
          <w:rFonts w:ascii="Arial" w:hAnsi="Arial" w:cs="Arial"/>
          <w:b/>
          <w:bCs/>
        </w:rPr>
      </w:pPr>
      <w:r>
        <w:rPr>
          <w:rFonts w:ascii="Arial" w:hAnsi="Arial" w:cs="Arial"/>
          <w:b/>
          <w:bCs/>
        </w:rPr>
        <w:t>Annual Tax on Enveloped Dwellings</w:t>
      </w:r>
    </w:p>
    <w:p w14:paraId="44FB64EF" w14:textId="7BEE4F0D" w:rsidR="00724174" w:rsidRPr="00CE76DB" w:rsidRDefault="00CE76DB" w:rsidP="002E0497">
      <w:pPr>
        <w:pStyle w:val="NoSpacing"/>
        <w:rPr>
          <w:rFonts w:ascii="Arial" w:eastAsia="Times New Roman" w:hAnsi="Arial" w:cs="Arial"/>
        </w:rPr>
      </w:pPr>
      <w:r w:rsidRPr="00CE76DB">
        <w:rPr>
          <w:rFonts w:ascii="Arial" w:eastAsia="Times New Roman" w:hAnsi="Arial" w:cs="Arial"/>
        </w:rPr>
        <w:t>The annual chargeable amounts for the ATED will</w:t>
      </w:r>
      <w:r>
        <w:rPr>
          <w:rFonts w:ascii="Arial" w:eastAsia="Times New Roman" w:hAnsi="Arial" w:cs="Arial"/>
        </w:rPr>
        <w:t xml:space="preserve"> </w:t>
      </w:r>
      <w:r w:rsidRPr="00CE76DB">
        <w:rPr>
          <w:rFonts w:ascii="Arial" w:eastAsia="Times New Roman" w:hAnsi="Arial" w:cs="Arial"/>
        </w:rPr>
        <w:t>be uplifted by the September CPI figure of 10.1% for the 2023-24 ATED charging period</w:t>
      </w:r>
      <w:r w:rsidR="00A12916">
        <w:rPr>
          <w:rFonts w:ascii="Arial" w:eastAsia="Times New Roman" w:hAnsi="Arial" w:cs="Arial"/>
        </w:rPr>
        <w:t>.</w:t>
      </w:r>
    </w:p>
    <w:p w14:paraId="18052CC7" w14:textId="77777777" w:rsidR="00724174" w:rsidRDefault="00724174" w:rsidP="002E0497">
      <w:pPr>
        <w:pStyle w:val="NoSpacing"/>
        <w:rPr>
          <w:rFonts w:ascii="Arial" w:hAnsi="Arial" w:cs="Arial"/>
          <w:b/>
          <w:bCs/>
        </w:rPr>
      </w:pPr>
    </w:p>
    <w:p w14:paraId="3B11B63D" w14:textId="3E99FE11" w:rsidR="002B15A0" w:rsidRPr="00242A37" w:rsidRDefault="002B15A0" w:rsidP="002B15A0">
      <w:pPr>
        <w:rPr>
          <w:rFonts w:ascii="Arial" w:hAnsi="Arial" w:cs="Arial"/>
          <w:b/>
          <w:bCs/>
          <w:sz w:val="22"/>
          <w:szCs w:val="22"/>
        </w:rPr>
      </w:pPr>
      <w:r w:rsidRPr="00242A37">
        <w:rPr>
          <w:rFonts w:ascii="Arial" w:hAnsi="Arial" w:cs="Arial"/>
          <w:b/>
          <w:bCs/>
          <w:sz w:val="22"/>
          <w:szCs w:val="22"/>
        </w:rPr>
        <w:t xml:space="preserve">Online Sales Tax (OST) </w:t>
      </w:r>
    </w:p>
    <w:p w14:paraId="31890C57" w14:textId="5F43E28E" w:rsidR="002B15A0" w:rsidRPr="00242A37" w:rsidRDefault="002B15A0" w:rsidP="002B15A0">
      <w:pPr>
        <w:rPr>
          <w:rFonts w:ascii="Arial" w:hAnsi="Arial" w:cs="Arial"/>
          <w:sz w:val="22"/>
          <w:szCs w:val="22"/>
        </w:rPr>
      </w:pPr>
      <w:r w:rsidRPr="00242A37">
        <w:rPr>
          <w:rFonts w:ascii="Arial" w:hAnsi="Arial" w:cs="Arial"/>
          <w:sz w:val="22"/>
          <w:szCs w:val="22"/>
        </w:rPr>
        <w:t xml:space="preserve">The government has clearly stated that it has decided not to introduce an OST, an idea put forward by certain stakeholders in the context of </w:t>
      </w:r>
      <w:r w:rsidR="009E564F">
        <w:rPr>
          <w:rFonts w:ascii="Arial" w:hAnsi="Arial" w:cs="Arial"/>
          <w:sz w:val="22"/>
          <w:szCs w:val="22"/>
        </w:rPr>
        <w:t>b</w:t>
      </w:r>
      <w:r w:rsidRPr="00242A37">
        <w:rPr>
          <w:rFonts w:ascii="Arial" w:hAnsi="Arial" w:cs="Arial"/>
          <w:sz w:val="22"/>
          <w:szCs w:val="22"/>
        </w:rPr>
        <w:t xml:space="preserve">usiness </w:t>
      </w:r>
      <w:r w:rsidR="009E564F">
        <w:rPr>
          <w:rFonts w:ascii="Arial" w:hAnsi="Arial" w:cs="Arial"/>
          <w:sz w:val="22"/>
          <w:szCs w:val="22"/>
        </w:rPr>
        <w:t>r</w:t>
      </w:r>
      <w:r w:rsidRPr="00242A37">
        <w:rPr>
          <w:rFonts w:ascii="Arial" w:hAnsi="Arial" w:cs="Arial"/>
          <w:sz w:val="22"/>
          <w:szCs w:val="22"/>
        </w:rPr>
        <w:t xml:space="preserve">ates reform. The government’s decision reflects concerns raised about an OST’s complexity and the risk of creating unintended distortion or unfair outcomes between different business models.  </w:t>
      </w:r>
    </w:p>
    <w:p w14:paraId="120519F3" w14:textId="77777777" w:rsidR="009E564F" w:rsidRDefault="009E564F" w:rsidP="002B15A0">
      <w:pPr>
        <w:rPr>
          <w:rFonts w:ascii="Arial" w:hAnsi="Arial" w:cs="Arial"/>
          <w:sz w:val="22"/>
          <w:szCs w:val="22"/>
        </w:rPr>
      </w:pPr>
    </w:p>
    <w:p w14:paraId="71AB38B3" w14:textId="443388CF" w:rsidR="002B15A0" w:rsidRPr="00242A37" w:rsidRDefault="002B15A0" w:rsidP="002B15A0">
      <w:pPr>
        <w:rPr>
          <w:rFonts w:ascii="Arial" w:hAnsi="Arial" w:cs="Arial"/>
          <w:sz w:val="22"/>
          <w:szCs w:val="22"/>
        </w:rPr>
      </w:pPr>
      <w:r w:rsidRPr="00242A37">
        <w:rPr>
          <w:rFonts w:ascii="Arial" w:hAnsi="Arial" w:cs="Arial"/>
          <w:sz w:val="22"/>
          <w:szCs w:val="22"/>
        </w:rPr>
        <w:t xml:space="preserve">This does bring a degree of certainty in future planning for many online retailers and </w:t>
      </w:r>
      <w:r w:rsidR="009E564F">
        <w:rPr>
          <w:rFonts w:ascii="Arial" w:hAnsi="Arial" w:cs="Arial"/>
          <w:sz w:val="22"/>
          <w:szCs w:val="22"/>
        </w:rPr>
        <w:t xml:space="preserve">– </w:t>
      </w:r>
      <w:r w:rsidRPr="00242A37">
        <w:rPr>
          <w:rFonts w:ascii="Arial" w:hAnsi="Arial" w:cs="Arial"/>
          <w:sz w:val="22"/>
          <w:szCs w:val="22"/>
        </w:rPr>
        <w:t>along with the rates reforms announced</w:t>
      </w:r>
      <w:r w:rsidR="009E564F">
        <w:rPr>
          <w:rFonts w:ascii="Arial" w:hAnsi="Arial" w:cs="Arial"/>
          <w:sz w:val="22"/>
          <w:szCs w:val="22"/>
        </w:rPr>
        <w:t xml:space="preserve"> –</w:t>
      </w:r>
      <w:r w:rsidRPr="00242A37">
        <w:rPr>
          <w:rFonts w:ascii="Arial" w:hAnsi="Arial" w:cs="Arial"/>
          <w:sz w:val="22"/>
          <w:szCs w:val="22"/>
        </w:rPr>
        <w:t xml:space="preserve"> clarity for those with fixed retail premises. </w:t>
      </w:r>
    </w:p>
    <w:p w14:paraId="1BB54DF5" w14:textId="77777777" w:rsidR="002B15A0" w:rsidRPr="009E564F" w:rsidRDefault="002B15A0" w:rsidP="009E564F">
      <w:pPr>
        <w:rPr>
          <w:rFonts w:ascii="Arial" w:hAnsi="Arial" w:cs="Arial"/>
          <w:b/>
          <w:bCs/>
          <w:i/>
          <w:iCs/>
          <w:sz w:val="22"/>
          <w:szCs w:val="22"/>
        </w:rPr>
      </w:pPr>
    </w:p>
    <w:p w14:paraId="13A3AB8F" w14:textId="2132F999" w:rsidR="00241606" w:rsidRPr="009E564F" w:rsidRDefault="00241606" w:rsidP="009E564F">
      <w:pPr>
        <w:textAlignment w:val="baseline"/>
        <w:rPr>
          <w:rFonts w:ascii="Arial" w:hAnsi="Arial" w:cs="Arial"/>
          <w:b/>
          <w:bCs/>
          <w:sz w:val="22"/>
          <w:szCs w:val="22"/>
        </w:rPr>
      </w:pPr>
      <w:r w:rsidRPr="009E564F">
        <w:rPr>
          <w:rFonts w:ascii="Arial" w:hAnsi="Arial" w:cs="Arial"/>
          <w:b/>
          <w:bCs/>
          <w:sz w:val="22"/>
          <w:szCs w:val="22"/>
        </w:rPr>
        <w:t xml:space="preserve">Help for </w:t>
      </w:r>
      <w:r w:rsidR="00091952">
        <w:rPr>
          <w:rFonts w:ascii="Arial" w:hAnsi="Arial" w:cs="Arial"/>
          <w:b/>
          <w:bCs/>
          <w:sz w:val="22"/>
          <w:szCs w:val="22"/>
        </w:rPr>
        <w:t>energy costs</w:t>
      </w:r>
    </w:p>
    <w:p w14:paraId="70118658" w14:textId="77777777" w:rsidR="00556051" w:rsidRPr="00556051" w:rsidRDefault="00556051" w:rsidP="00556051">
      <w:pPr>
        <w:pStyle w:val="NormalWeb"/>
        <w:shd w:val="clear" w:color="auto" w:fill="FFFFFF"/>
        <w:spacing w:before="0" w:beforeAutospacing="0" w:after="0" w:afterAutospacing="0"/>
        <w:rPr>
          <w:rFonts w:ascii="Arial" w:hAnsi="Arial" w:cs="Arial"/>
          <w:color w:val="0B0C0C"/>
          <w:sz w:val="22"/>
          <w:szCs w:val="22"/>
        </w:rPr>
      </w:pPr>
      <w:r w:rsidRPr="00556051">
        <w:rPr>
          <w:rFonts w:ascii="Arial" w:hAnsi="Arial" w:cs="Arial"/>
          <w:color w:val="0B0C0C"/>
          <w:sz w:val="22"/>
          <w:szCs w:val="22"/>
        </w:rPr>
        <w:t xml:space="preserve">The current Energy Price Guarantee provides support for household and business energy bills until 31 March 2023. Support for households will continue from April 2023 </w:t>
      </w:r>
      <w:proofErr w:type="spellStart"/>
      <w:r w:rsidRPr="00556051">
        <w:rPr>
          <w:rFonts w:ascii="Arial" w:hAnsi="Arial" w:cs="Arial"/>
          <w:color w:val="0B0C0C"/>
          <w:sz w:val="22"/>
          <w:szCs w:val="22"/>
        </w:rPr>
        <w:t>though</w:t>
      </w:r>
      <w:proofErr w:type="spellEnd"/>
      <w:r w:rsidRPr="00556051">
        <w:rPr>
          <w:rFonts w:ascii="Arial" w:hAnsi="Arial" w:cs="Arial"/>
          <w:color w:val="0B0C0C"/>
          <w:sz w:val="22"/>
          <w:szCs w:val="22"/>
        </w:rPr>
        <w:t xml:space="preserve"> support will be less generous and based on a higher average usage price cap of £3000 (up from £2,500) per annum, with additional targeted support for vulnerable households.</w:t>
      </w:r>
    </w:p>
    <w:p w14:paraId="6B5BC30B" w14:textId="77777777" w:rsidR="00556051" w:rsidRPr="00556051" w:rsidRDefault="00556051" w:rsidP="00556051">
      <w:pPr>
        <w:pStyle w:val="NormalWeb"/>
        <w:shd w:val="clear" w:color="auto" w:fill="FFFFFF"/>
        <w:spacing w:before="0" w:beforeAutospacing="0" w:after="0" w:afterAutospacing="0"/>
        <w:rPr>
          <w:rFonts w:ascii="Arial" w:hAnsi="Arial" w:cs="Arial"/>
          <w:color w:val="0B0C0C"/>
          <w:sz w:val="22"/>
          <w:szCs w:val="22"/>
        </w:rPr>
      </w:pPr>
    </w:p>
    <w:p w14:paraId="3A567E8C" w14:textId="4B1BABA7" w:rsidR="00556051" w:rsidRPr="00556051" w:rsidRDefault="00556051" w:rsidP="00556051">
      <w:pPr>
        <w:pStyle w:val="NormalWeb"/>
        <w:shd w:val="clear" w:color="auto" w:fill="FFFFFF"/>
        <w:spacing w:before="0" w:beforeAutospacing="0" w:after="0" w:afterAutospacing="0"/>
        <w:rPr>
          <w:rFonts w:ascii="Arial" w:hAnsi="Arial" w:cs="Arial"/>
          <w:color w:val="0B0C0C"/>
          <w:sz w:val="22"/>
          <w:szCs w:val="22"/>
        </w:rPr>
      </w:pPr>
      <w:r w:rsidRPr="00556051">
        <w:rPr>
          <w:rFonts w:ascii="Arial" w:hAnsi="Arial" w:cs="Arial"/>
          <w:color w:val="0B0C0C"/>
          <w:sz w:val="22"/>
          <w:szCs w:val="22"/>
        </w:rPr>
        <w:t>Further detail about eligibility for support for businesses can be found</w:t>
      </w:r>
      <w:r w:rsidR="00604E4A">
        <w:rPr>
          <w:rFonts w:ascii="Arial" w:hAnsi="Arial" w:cs="Arial"/>
          <w:color w:val="0B0C0C"/>
          <w:sz w:val="22"/>
          <w:szCs w:val="22"/>
        </w:rPr>
        <w:t xml:space="preserve"> </w:t>
      </w:r>
      <w:hyperlink r:id="rId11" w:history="1">
        <w:r w:rsidR="00604E4A" w:rsidRPr="00604E4A">
          <w:rPr>
            <w:rStyle w:val="Hyperlink"/>
            <w:rFonts w:ascii="Arial" w:hAnsi="Arial" w:cs="Arial"/>
            <w:sz w:val="22"/>
            <w:szCs w:val="22"/>
          </w:rPr>
          <w:t>here</w:t>
        </w:r>
      </w:hyperlink>
      <w:r w:rsidRPr="00556051">
        <w:rPr>
          <w:rFonts w:ascii="Arial" w:hAnsi="Arial" w:cs="Arial"/>
          <w:color w:val="0B0C0C"/>
          <w:sz w:val="22"/>
          <w:szCs w:val="22"/>
        </w:rPr>
        <w:t>. ACCA members have helpfully provided feedback to shape the detailed delivery of the business support scheme and today’s announcement suggested the final details would be published before the end of the year.</w:t>
      </w:r>
    </w:p>
    <w:p w14:paraId="5FB235BE" w14:textId="77777777" w:rsidR="00556051" w:rsidRDefault="00556051" w:rsidP="009E564F">
      <w:pPr>
        <w:textAlignment w:val="baseline"/>
        <w:rPr>
          <w:rFonts w:ascii="Arial" w:hAnsi="Arial" w:cs="Arial"/>
          <w:color w:val="0B0C0C"/>
          <w:sz w:val="22"/>
          <w:szCs w:val="22"/>
          <w:lang w:eastAsia="en-GB"/>
        </w:rPr>
      </w:pPr>
    </w:p>
    <w:p w14:paraId="7E7B9FD6" w14:textId="77777777" w:rsidR="004A51B3" w:rsidRDefault="008A1172" w:rsidP="004A51B3">
      <w:pPr>
        <w:textAlignment w:val="baseline"/>
        <w:rPr>
          <w:rFonts w:ascii="Arial" w:hAnsi="Arial" w:cs="Arial"/>
          <w:b/>
          <w:bCs/>
          <w:sz w:val="22"/>
          <w:szCs w:val="22"/>
          <w:lang w:eastAsia="en-GB"/>
        </w:rPr>
      </w:pPr>
      <w:r>
        <w:rPr>
          <w:rFonts w:ascii="Arial" w:hAnsi="Arial" w:cs="Arial"/>
          <w:b/>
          <w:bCs/>
          <w:sz w:val="22"/>
          <w:szCs w:val="22"/>
          <w:lang w:eastAsia="en-GB"/>
        </w:rPr>
        <w:t>Business Rates</w:t>
      </w:r>
    </w:p>
    <w:p w14:paraId="5992E0DA" w14:textId="77777777" w:rsidR="004A51B3" w:rsidRDefault="004A51B3" w:rsidP="004A51B3">
      <w:pPr>
        <w:textAlignment w:val="baseline"/>
        <w:rPr>
          <w:rFonts w:ascii="Arial" w:hAnsi="Arial" w:cs="Arial"/>
          <w:color w:val="0B0C0C"/>
          <w:sz w:val="22"/>
          <w:szCs w:val="22"/>
        </w:rPr>
      </w:pPr>
      <w:r w:rsidRPr="004A51B3">
        <w:rPr>
          <w:rFonts w:ascii="Arial" w:hAnsi="Arial" w:cs="Arial"/>
          <w:color w:val="0B0C0C"/>
          <w:sz w:val="22"/>
          <w:szCs w:val="22"/>
        </w:rPr>
        <w:t xml:space="preserve">The Chancellor confirmed that the planned revaluation for England will proceed in April 2023. At revaluation, property values used to calculate non-domestic rates are updated to reflect the property market (in this case to reflect values as </w:t>
      </w:r>
      <w:proofErr w:type="gramStart"/>
      <w:r w:rsidRPr="004A51B3">
        <w:rPr>
          <w:rFonts w:ascii="Arial" w:hAnsi="Arial" w:cs="Arial"/>
          <w:color w:val="0B0C0C"/>
          <w:sz w:val="22"/>
          <w:szCs w:val="22"/>
        </w:rPr>
        <w:t>at</w:t>
      </w:r>
      <w:proofErr w:type="gramEnd"/>
      <w:r w:rsidRPr="004A51B3">
        <w:rPr>
          <w:rFonts w:ascii="Arial" w:hAnsi="Arial" w:cs="Arial"/>
          <w:color w:val="0B0C0C"/>
          <w:sz w:val="22"/>
          <w:szCs w:val="22"/>
        </w:rPr>
        <w:t xml:space="preserve"> 1 April 2021). Current values have been in effect since April 2017, and are based on market values as </w:t>
      </w:r>
      <w:proofErr w:type="gramStart"/>
      <w:r w:rsidRPr="004A51B3">
        <w:rPr>
          <w:rFonts w:ascii="Arial" w:hAnsi="Arial" w:cs="Arial"/>
          <w:color w:val="0B0C0C"/>
          <w:sz w:val="22"/>
          <w:szCs w:val="22"/>
        </w:rPr>
        <w:t>at</w:t>
      </w:r>
      <w:proofErr w:type="gramEnd"/>
      <w:r w:rsidRPr="004A51B3">
        <w:rPr>
          <w:rFonts w:ascii="Arial" w:hAnsi="Arial" w:cs="Arial"/>
          <w:color w:val="0B0C0C"/>
          <w:sz w:val="22"/>
          <w:szCs w:val="22"/>
        </w:rPr>
        <w:t xml:space="preserve"> April 2015. </w:t>
      </w:r>
    </w:p>
    <w:p w14:paraId="23C490E1" w14:textId="77777777" w:rsidR="004A51B3" w:rsidRDefault="004A51B3" w:rsidP="004A51B3">
      <w:pPr>
        <w:textAlignment w:val="baseline"/>
        <w:rPr>
          <w:rFonts w:ascii="Arial" w:hAnsi="Arial" w:cs="Arial"/>
          <w:color w:val="0B0C0C"/>
          <w:sz w:val="22"/>
          <w:szCs w:val="22"/>
        </w:rPr>
      </w:pPr>
    </w:p>
    <w:p w14:paraId="4135CE61" w14:textId="72C8FDFC" w:rsidR="004A51B3" w:rsidRPr="004A51B3" w:rsidRDefault="004A51B3" w:rsidP="004A51B3">
      <w:pPr>
        <w:textAlignment w:val="baseline"/>
        <w:rPr>
          <w:rFonts w:ascii="Arial" w:hAnsi="Arial" w:cs="Arial"/>
          <w:color w:val="0B0C0C"/>
          <w:sz w:val="22"/>
          <w:szCs w:val="22"/>
        </w:rPr>
      </w:pPr>
      <w:r w:rsidRPr="004A51B3">
        <w:rPr>
          <w:rFonts w:ascii="Arial" w:hAnsi="Arial" w:cs="Arial"/>
          <w:color w:val="0B0C0C"/>
          <w:sz w:val="22"/>
          <w:szCs w:val="22"/>
        </w:rPr>
        <w:t xml:space="preserve">The Chancellor also confirmed that a transitional rates relief scheme, which phases in changes associated with new values, will be in place for 3 years following the revaluation. </w:t>
      </w:r>
    </w:p>
    <w:p w14:paraId="1990F268" w14:textId="77777777" w:rsidR="00F03786" w:rsidRDefault="004A51B3" w:rsidP="004A51B3">
      <w:pPr>
        <w:textAlignment w:val="baseline"/>
        <w:rPr>
          <w:rFonts w:ascii="Arial" w:hAnsi="Arial" w:cs="Arial"/>
          <w:color w:val="0B0C0C"/>
          <w:sz w:val="22"/>
          <w:szCs w:val="22"/>
          <w:lang w:eastAsia="en-GB"/>
        </w:rPr>
      </w:pPr>
      <w:r w:rsidRPr="004A51B3">
        <w:rPr>
          <w:rFonts w:ascii="Arial" w:hAnsi="Arial" w:cs="Arial"/>
          <w:color w:val="0B0C0C"/>
          <w:sz w:val="22"/>
          <w:szCs w:val="22"/>
          <w:lang w:eastAsia="en-GB"/>
        </w:rPr>
        <w:t xml:space="preserve">The business rates multiplier will be frozen in 2023-24, while relief for 230,000 businesses in retail, hospitality and leisure sectors was also increased from 50% to 75% next </w:t>
      </w:r>
      <w:proofErr w:type="gramStart"/>
      <w:r w:rsidRPr="004A51B3">
        <w:rPr>
          <w:rFonts w:ascii="Arial" w:hAnsi="Arial" w:cs="Arial"/>
          <w:color w:val="0B0C0C"/>
          <w:sz w:val="22"/>
          <w:szCs w:val="22"/>
          <w:lang w:eastAsia="en-GB"/>
        </w:rPr>
        <w:t>year;</w:t>
      </w:r>
      <w:proofErr w:type="gramEnd"/>
    </w:p>
    <w:p w14:paraId="49E205B3" w14:textId="77777777" w:rsidR="00F03786" w:rsidRDefault="00F03786" w:rsidP="004A51B3">
      <w:pPr>
        <w:textAlignment w:val="baseline"/>
        <w:rPr>
          <w:rFonts w:ascii="Arial" w:hAnsi="Arial" w:cs="Arial"/>
          <w:color w:val="0B0C0C"/>
          <w:sz w:val="22"/>
          <w:szCs w:val="22"/>
          <w:lang w:eastAsia="en-GB"/>
        </w:rPr>
      </w:pPr>
    </w:p>
    <w:p w14:paraId="5548D722" w14:textId="68B02E03" w:rsidR="004A51B3" w:rsidRPr="004A51B3" w:rsidRDefault="004A51B3" w:rsidP="004A51B3">
      <w:pPr>
        <w:textAlignment w:val="baseline"/>
        <w:rPr>
          <w:rFonts w:ascii="Arial" w:hAnsi="Arial" w:cs="Arial"/>
          <w:color w:val="0B0C0C"/>
          <w:sz w:val="22"/>
          <w:szCs w:val="22"/>
          <w:lang w:eastAsia="en-GB"/>
        </w:rPr>
      </w:pPr>
      <w:r w:rsidRPr="004A51B3">
        <w:rPr>
          <w:rFonts w:ascii="Arial" w:hAnsi="Arial" w:cs="Arial"/>
          <w:color w:val="0B0C0C"/>
          <w:sz w:val="22"/>
          <w:szCs w:val="22"/>
          <w:lang w:eastAsia="en-GB"/>
        </w:rPr>
        <w:t>Revaluations are also expected to take effect in April 2023 in Scotland and Wales however poundage rates and any other decisions relating to revaluation and non-domestic rates are expected to be announced by the Welsh and Scottish Governments in their respective budgets, expected in mid-December</w:t>
      </w:r>
    </w:p>
    <w:p w14:paraId="66721FD9" w14:textId="77777777" w:rsidR="004A51B3" w:rsidRPr="004A51B3" w:rsidRDefault="004A51B3" w:rsidP="004A51B3">
      <w:pPr>
        <w:textAlignment w:val="baseline"/>
        <w:rPr>
          <w:rFonts w:ascii="Arial" w:hAnsi="Arial" w:cs="Arial"/>
          <w:color w:val="0B0C0C"/>
          <w:sz w:val="22"/>
          <w:szCs w:val="22"/>
          <w:lang w:eastAsia="en-GB"/>
        </w:rPr>
      </w:pPr>
    </w:p>
    <w:p w14:paraId="433CA245" w14:textId="7A31DDB1" w:rsidR="004A51B3" w:rsidRPr="004A51B3" w:rsidRDefault="004A51B3" w:rsidP="004A51B3">
      <w:pPr>
        <w:textAlignment w:val="baseline"/>
        <w:rPr>
          <w:rFonts w:ascii="Arial" w:hAnsi="Arial" w:cs="Arial"/>
          <w:color w:val="0B0C0C"/>
          <w:sz w:val="22"/>
          <w:szCs w:val="22"/>
          <w:lang w:eastAsia="en-GB"/>
        </w:rPr>
      </w:pPr>
      <w:r w:rsidRPr="004A51B3">
        <w:rPr>
          <w:rFonts w:ascii="Arial" w:hAnsi="Arial" w:cs="Arial"/>
          <w:color w:val="0B0C0C"/>
          <w:sz w:val="22"/>
          <w:szCs w:val="22"/>
          <w:lang w:eastAsia="en-GB"/>
        </w:rPr>
        <w:t xml:space="preserve">A variety of other </w:t>
      </w:r>
      <w:r w:rsidR="00F03786" w:rsidRPr="004A51B3">
        <w:rPr>
          <w:rFonts w:ascii="Arial" w:hAnsi="Arial" w:cs="Arial"/>
          <w:color w:val="0B0C0C"/>
          <w:sz w:val="22"/>
          <w:szCs w:val="22"/>
          <w:lang w:eastAsia="en-GB"/>
        </w:rPr>
        <w:t>non-domestic</w:t>
      </w:r>
      <w:r w:rsidRPr="004A51B3">
        <w:rPr>
          <w:rFonts w:ascii="Arial" w:hAnsi="Arial" w:cs="Arial"/>
          <w:color w:val="0B0C0C"/>
          <w:sz w:val="22"/>
          <w:szCs w:val="22"/>
          <w:lang w:eastAsia="en-GB"/>
        </w:rPr>
        <w:t xml:space="preserve"> rates relief may be </w:t>
      </w:r>
      <w:proofErr w:type="gramStart"/>
      <w:r w:rsidRPr="004A51B3">
        <w:rPr>
          <w:rFonts w:ascii="Arial" w:hAnsi="Arial" w:cs="Arial"/>
          <w:color w:val="0B0C0C"/>
          <w:sz w:val="22"/>
          <w:szCs w:val="22"/>
          <w:lang w:eastAsia="en-GB"/>
        </w:rPr>
        <w:t>available</w:t>
      </w:r>
      <w:proofErr w:type="gramEnd"/>
      <w:r w:rsidRPr="004A51B3">
        <w:rPr>
          <w:rFonts w:ascii="Arial" w:hAnsi="Arial" w:cs="Arial"/>
          <w:color w:val="0B0C0C"/>
          <w:sz w:val="22"/>
          <w:szCs w:val="22"/>
          <w:lang w:eastAsia="en-GB"/>
        </w:rPr>
        <w:t xml:space="preserve"> but businesses will need to check with their local council here:</w:t>
      </w:r>
    </w:p>
    <w:p w14:paraId="082A1420" w14:textId="77777777" w:rsidR="004A51B3" w:rsidRDefault="004A51B3" w:rsidP="004A51B3">
      <w:pPr>
        <w:textAlignment w:val="baseline"/>
        <w:rPr>
          <w:rFonts w:ascii="Arial" w:eastAsia="Arial" w:hAnsi="Arial" w:cs="Arial"/>
          <w:color w:val="00B0F0"/>
        </w:rPr>
      </w:pPr>
      <w:hyperlink r:id="rId12" w:history="1">
        <w:r w:rsidRPr="00680D23">
          <w:rPr>
            <w:rStyle w:val="Hyperlink"/>
            <w:rFonts w:ascii="Arial" w:eastAsia="Arial" w:hAnsi="Arial" w:cs="Arial"/>
          </w:rPr>
          <w:t>https://www.gov.uk/apply-for-business-rate-relief</w:t>
        </w:r>
      </w:hyperlink>
    </w:p>
    <w:p w14:paraId="5F23B829" w14:textId="77777777" w:rsidR="008A1172" w:rsidRDefault="008A1172" w:rsidP="00246761">
      <w:pPr>
        <w:textAlignment w:val="baseline"/>
        <w:rPr>
          <w:rFonts w:ascii="Arial" w:hAnsi="Arial" w:cs="Arial"/>
          <w:b/>
          <w:bCs/>
          <w:sz w:val="22"/>
          <w:szCs w:val="22"/>
          <w:lang w:eastAsia="en-GB"/>
        </w:rPr>
      </w:pPr>
    </w:p>
    <w:p w14:paraId="4DC15E1C" w14:textId="77777777" w:rsidR="008A1172" w:rsidRDefault="008A1172" w:rsidP="00246761">
      <w:pPr>
        <w:textAlignment w:val="baseline"/>
        <w:rPr>
          <w:rFonts w:ascii="Arial" w:hAnsi="Arial" w:cs="Arial"/>
          <w:b/>
          <w:bCs/>
          <w:sz w:val="22"/>
          <w:szCs w:val="22"/>
          <w:lang w:eastAsia="en-GB"/>
        </w:rPr>
      </w:pPr>
    </w:p>
    <w:p w14:paraId="11D04435" w14:textId="04E7DACB" w:rsidR="00705E4B" w:rsidRPr="00246761" w:rsidRDefault="00705E4B" w:rsidP="00246761">
      <w:pPr>
        <w:textAlignment w:val="baseline"/>
        <w:rPr>
          <w:rFonts w:ascii="Arial" w:hAnsi="Arial" w:cs="Arial"/>
          <w:b/>
          <w:bCs/>
          <w:sz w:val="22"/>
          <w:szCs w:val="22"/>
          <w:lang w:eastAsia="en-GB"/>
        </w:rPr>
      </w:pPr>
      <w:r w:rsidRPr="00246761">
        <w:rPr>
          <w:rFonts w:ascii="Arial" w:hAnsi="Arial" w:cs="Arial"/>
          <w:b/>
          <w:bCs/>
          <w:sz w:val="22"/>
          <w:szCs w:val="22"/>
          <w:lang w:eastAsia="en-GB"/>
        </w:rPr>
        <w:t>Access to finance</w:t>
      </w:r>
      <w:r w:rsidR="00246761" w:rsidRPr="00246761">
        <w:rPr>
          <w:rFonts w:ascii="Arial" w:hAnsi="Arial" w:cs="Arial"/>
          <w:b/>
          <w:bCs/>
          <w:sz w:val="22"/>
          <w:szCs w:val="22"/>
          <w:lang w:eastAsia="en-GB"/>
        </w:rPr>
        <w:t xml:space="preserve"> – eligibility for s</w:t>
      </w:r>
      <w:r w:rsidRPr="00246761">
        <w:rPr>
          <w:rFonts w:ascii="Arial" w:hAnsi="Arial" w:cs="Arial"/>
          <w:b/>
          <w:bCs/>
          <w:sz w:val="22"/>
          <w:szCs w:val="22"/>
          <w:lang w:eastAsia="en-GB"/>
        </w:rPr>
        <w:t>tart</w:t>
      </w:r>
      <w:r w:rsidR="00246761" w:rsidRPr="00246761">
        <w:rPr>
          <w:rFonts w:ascii="Arial" w:hAnsi="Arial" w:cs="Arial"/>
          <w:b/>
          <w:bCs/>
          <w:sz w:val="22"/>
          <w:szCs w:val="22"/>
          <w:lang w:eastAsia="en-GB"/>
        </w:rPr>
        <w:t>-</w:t>
      </w:r>
      <w:r w:rsidRPr="00246761">
        <w:rPr>
          <w:rFonts w:ascii="Arial" w:hAnsi="Arial" w:cs="Arial"/>
          <w:b/>
          <w:bCs/>
          <w:sz w:val="22"/>
          <w:szCs w:val="22"/>
          <w:lang w:eastAsia="en-GB"/>
        </w:rPr>
        <w:t>up loans</w:t>
      </w:r>
    </w:p>
    <w:p w14:paraId="13C14100" w14:textId="741C8AED" w:rsidR="00246761" w:rsidRPr="00246761" w:rsidRDefault="00705E4B" w:rsidP="00246761">
      <w:pPr>
        <w:textAlignment w:val="baseline"/>
        <w:rPr>
          <w:rFonts w:ascii="Arial" w:hAnsi="Arial" w:cs="Arial"/>
          <w:color w:val="2F5496"/>
          <w:sz w:val="22"/>
          <w:szCs w:val="22"/>
          <w:lang w:eastAsia="en-GB"/>
        </w:rPr>
      </w:pPr>
      <w:r w:rsidRPr="00246761">
        <w:rPr>
          <w:rFonts w:ascii="Arial" w:hAnsi="Arial" w:cs="Arial"/>
          <w:color w:val="0B0C0C"/>
          <w:sz w:val="22"/>
          <w:szCs w:val="22"/>
          <w:lang w:eastAsia="en-GB"/>
        </w:rPr>
        <w:t>As previously announced</w:t>
      </w:r>
      <w:r w:rsidR="00246761" w:rsidRPr="00246761">
        <w:rPr>
          <w:rFonts w:ascii="Arial" w:hAnsi="Arial" w:cs="Arial"/>
          <w:color w:val="0B0C0C"/>
          <w:sz w:val="22"/>
          <w:szCs w:val="22"/>
          <w:lang w:eastAsia="en-GB"/>
        </w:rPr>
        <w:t>,</w:t>
      </w:r>
      <w:r w:rsidRPr="00246761">
        <w:rPr>
          <w:rFonts w:ascii="Arial" w:hAnsi="Arial" w:cs="Arial"/>
          <w:color w:val="0B0C0C"/>
          <w:sz w:val="22"/>
          <w:szCs w:val="22"/>
          <w:lang w:eastAsia="en-GB"/>
        </w:rPr>
        <w:t xml:space="preserve"> the </w:t>
      </w:r>
      <w:r w:rsidR="00246761" w:rsidRPr="00246761">
        <w:rPr>
          <w:rFonts w:ascii="Arial" w:hAnsi="Arial" w:cs="Arial"/>
          <w:color w:val="0B0C0C"/>
          <w:sz w:val="22"/>
          <w:szCs w:val="22"/>
          <w:lang w:eastAsia="en-GB"/>
        </w:rPr>
        <w:t>b</w:t>
      </w:r>
      <w:r w:rsidRPr="00246761">
        <w:rPr>
          <w:rFonts w:ascii="Arial" w:hAnsi="Arial" w:cs="Arial"/>
          <w:color w:val="0B0C0C"/>
          <w:sz w:val="22"/>
          <w:szCs w:val="22"/>
          <w:lang w:eastAsia="en-GB"/>
        </w:rPr>
        <w:t xml:space="preserve">usiness </w:t>
      </w:r>
      <w:r w:rsidR="00246761" w:rsidRPr="00246761">
        <w:rPr>
          <w:rFonts w:ascii="Arial" w:hAnsi="Arial" w:cs="Arial"/>
          <w:color w:val="0B0C0C"/>
          <w:sz w:val="22"/>
          <w:szCs w:val="22"/>
          <w:lang w:eastAsia="en-GB"/>
        </w:rPr>
        <w:t>s</w:t>
      </w:r>
      <w:r w:rsidRPr="00246761">
        <w:rPr>
          <w:rFonts w:ascii="Arial" w:hAnsi="Arial" w:cs="Arial"/>
          <w:color w:val="0B0C0C"/>
          <w:sz w:val="22"/>
          <w:szCs w:val="22"/>
          <w:lang w:eastAsia="en-GB"/>
        </w:rPr>
        <w:t xml:space="preserve">ecretary has widened eligibility of </w:t>
      </w:r>
      <w:r w:rsidR="00246761" w:rsidRPr="00246761">
        <w:rPr>
          <w:rFonts w:ascii="Arial" w:hAnsi="Arial" w:cs="Arial"/>
          <w:color w:val="0B0C0C"/>
          <w:sz w:val="22"/>
          <w:szCs w:val="22"/>
          <w:lang w:eastAsia="en-GB"/>
        </w:rPr>
        <w:t>the s</w:t>
      </w:r>
      <w:r w:rsidRPr="00246761">
        <w:rPr>
          <w:rFonts w:ascii="Arial" w:hAnsi="Arial" w:cs="Arial"/>
          <w:color w:val="0B0C0C"/>
          <w:sz w:val="22"/>
          <w:szCs w:val="22"/>
          <w:lang w:eastAsia="en-GB"/>
        </w:rPr>
        <w:t>tart</w:t>
      </w:r>
      <w:r w:rsidR="00246761" w:rsidRPr="00246761">
        <w:rPr>
          <w:rFonts w:ascii="Arial" w:hAnsi="Arial" w:cs="Arial"/>
          <w:color w:val="0B0C0C"/>
          <w:sz w:val="22"/>
          <w:szCs w:val="22"/>
          <w:lang w:eastAsia="en-GB"/>
        </w:rPr>
        <w:t>-u</w:t>
      </w:r>
      <w:r w:rsidRPr="00246761">
        <w:rPr>
          <w:rFonts w:ascii="Arial" w:hAnsi="Arial" w:cs="Arial"/>
          <w:color w:val="0B0C0C"/>
          <w:sz w:val="22"/>
          <w:szCs w:val="22"/>
          <w:lang w:eastAsia="en-GB"/>
        </w:rPr>
        <w:t xml:space="preserve">p </w:t>
      </w:r>
      <w:r w:rsidR="00246761" w:rsidRPr="00246761">
        <w:rPr>
          <w:rFonts w:ascii="Arial" w:hAnsi="Arial" w:cs="Arial"/>
          <w:color w:val="0B0C0C"/>
          <w:sz w:val="22"/>
          <w:szCs w:val="22"/>
          <w:lang w:eastAsia="en-GB"/>
        </w:rPr>
        <w:t>l</w:t>
      </w:r>
      <w:r w:rsidRPr="00246761">
        <w:rPr>
          <w:rFonts w:ascii="Arial" w:hAnsi="Arial" w:cs="Arial"/>
          <w:color w:val="0B0C0C"/>
          <w:sz w:val="22"/>
          <w:szCs w:val="22"/>
          <w:lang w:eastAsia="en-GB"/>
        </w:rPr>
        <w:t xml:space="preserve">oans scheme to businesses trading for up to </w:t>
      </w:r>
      <w:r w:rsidR="00246761" w:rsidRPr="00246761">
        <w:rPr>
          <w:rFonts w:ascii="Arial" w:hAnsi="Arial" w:cs="Arial"/>
          <w:color w:val="0B0C0C"/>
          <w:sz w:val="22"/>
          <w:szCs w:val="22"/>
          <w:lang w:eastAsia="en-GB"/>
        </w:rPr>
        <w:t>three</w:t>
      </w:r>
      <w:r w:rsidRPr="00246761">
        <w:rPr>
          <w:rFonts w:ascii="Arial" w:hAnsi="Arial" w:cs="Arial"/>
          <w:color w:val="0B0C0C"/>
          <w:sz w:val="22"/>
          <w:szCs w:val="22"/>
          <w:lang w:eastAsia="en-GB"/>
        </w:rPr>
        <w:t xml:space="preserve"> years</w:t>
      </w:r>
      <w:r w:rsidR="00246761" w:rsidRPr="00246761">
        <w:rPr>
          <w:rFonts w:ascii="Arial" w:hAnsi="Arial" w:cs="Arial"/>
          <w:color w:val="0B0C0C"/>
          <w:sz w:val="22"/>
          <w:szCs w:val="22"/>
          <w:lang w:eastAsia="en-GB"/>
        </w:rPr>
        <w:t xml:space="preserve"> as follows:</w:t>
      </w:r>
    </w:p>
    <w:p w14:paraId="7FDEAB64" w14:textId="59A46B9D" w:rsidR="00705E4B" w:rsidRPr="00246761" w:rsidRDefault="00705E4B" w:rsidP="00246761">
      <w:pPr>
        <w:textAlignment w:val="baseline"/>
        <w:rPr>
          <w:rFonts w:ascii="Arial" w:hAnsi="Arial" w:cs="Arial"/>
          <w:sz w:val="22"/>
          <w:szCs w:val="22"/>
          <w:lang w:eastAsia="en-GB"/>
        </w:rPr>
      </w:pPr>
      <w:r w:rsidRPr="00246761">
        <w:rPr>
          <w:rFonts w:ascii="Arial" w:hAnsi="Arial" w:cs="Arial"/>
          <w:color w:val="2F5496"/>
          <w:sz w:val="22"/>
          <w:szCs w:val="22"/>
          <w:lang w:eastAsia="en-GB"/>
        </w:rPr>
        <w:t> </w:t>
      </w:r>
    </w:p>
    <w:p w14:paraId="1C62183C" w14:textId="6075C4BC" w:rsidR="00705E4B" w:rsidRPr="00246761" w:rsidRDefault="00980DCD" w:rsidP="00246761">
      <w:pPr>
        <w:pStyle w:val="ListParagraph"/>
        <w:numPr>
          <w:ilvl w:val="0"/>
          <w:numId w:val="42"/>
        </w:numPr>
        <w:spacing w:after="0" w:line="240" w:lineRule="auto"/>
        <w:textAlignment w:val="baseline"/>
        <w:rPr>
          <w:rFonts w:ascii="Arial" w:hAnsi="Arial" w:cs="Arial"/>
          <w:lang w:eastAsia="en-GB"/>
        </w:rPr>
      </w:pPr>
      <w:hyperlink r:id="rId13" w:tgtFrame="_blank" w:history="1">
        <w:r w:rsidR="00246761" w:rsidRPr="00246761">
          <w:rPr>
            <w:rStyle w:val="Hyperlink"/>
            <w:rFonts w:ascii="Arial" w:hAnsi="Arial" w:cs="Arial"/>
            <w:lang w:eastAsia="en-GB"/>
          </w:rPr>
          <w:t>s</w:t>
        </w:r>
        <w:r w:rsidR="00705E4B" w:rsidRPr="00246761">
          <w:rPr>
            <w:rStyle w:val="Hyperlink"/>
            <w:rFonts w:ascii="Arial" w:hAnsi="Arial" w:cs="Arial"/>
            <w:lang w:eastAsia="en-GB"/>
          </w:rPr>
          <w:t>tart</w:t>
        </w:r>
        <w:r w:rsidR="00246761" w:rsidRPr="00246761">
          <w:rPr>
            <w:rStyle w:val="Hyperlink"/>
            <w:rFonts w:ascii="Arial" w:hAnsi="Arial" w:cs="Arial"/>
            <w:lang w:eastAsia="en-GB"/>
          </w:rPr>
          <w:t>-u</w:t>
        </w:r>
        <w:r w:rsidR="00705E4B" w:rsidRPr="00246761">
          <w:rPr>
            <w:rStyle w:val="Hyperlink"/>
            <w:rFonts w:ascii="Arial" w:hAnsi="Arial" w:cs="Arial"/>
            <w:lang w:eastAsia="en-GB"/>
          </w:rPr>
          <w:t xml:space="preserve">p </w:t>
        </w:r>
        <w:r w:rsidR="00246761" w:rsidRPr="00246761">
          <w:rPr>
            <w:rStyle w:val="Hyperlink"/>
            <w:rFonts w:ascii="Arial" w:hAnsi="Arial" w:cs="Arial"/>
            <w:lang w:eastAsia="en-GB"/>
          </w:rPr>
          <w:t>l</w:t>
        </w:r>
        <w:r w:rsidR="00705E4B" w:rsidRPr="00246761">
          <w:rPr>
            <w:rStyle w:val="Hyperlink"/>
            <w:rFonts w:ascii="Arial" w:hAnsi="Arial" w:cs="Arial"/>
            <w:lang w:eastAsia="en-GB"/>
          </w:rPr>
          <w:t>oans</w:t>
        </w:r>
      </w:hyperlink>
      <w:r w:rsidR="00705E4B" w:rsidRPr="00246761">
        <w:rPr>
          <w:rFonts w:ascii="Arial" w:hAnsi="Arial" w:cs="Arial"/>
          <w:color w:val="0B0C0C"/>
          <w:lang w:eastAsia="en-GB"/>
        </w:rPr>
        <w:t xml:space="preserve"> of up to £25,000 </w:t>
      </w:r>
      <w:r w:rsidR="00246761" w:rsidRPr="00246761">
        <w:rPr>
          <w:rFonts w:ascii="Arial" w:hAnsi="Arial" w:cs="Arial"/>
          <w:color w:val="0B0C0C"/>
          <w:lang w:eastAsia="en-GB"/>
        </w:rPr>
        <w:t xml:space="preserve">are </w:t>
      </w:r>
      <w:r w:rsidR="00705E4B" w:rsidRPr="00246761">
        <w:rPr>
          <w:rFonts w:ascii="Arial" w:hAnsi="Arial" w:cs="Arial"/>
          <w:color w:val="0B0C0C"/>
          <w:lang w:eastAsia="en-GB"/>
        </w:rPr>
        <w:t xml:space="preserve">now available to start-ups that have been trading for up to </w:t>
      </w:r>
      <w:r w:rsidR="00246761" w:rsidRPr="00246761">
        <w:rPr>
          <w:rFonts w:ascii="Arial" w:hAnsi="Arial" w:cs="Arial"/>
          <w:color w:val="0B0C0C"/>
          <w:lang w:eastAsia="en-GB"/>
        </w:rPr>
        <w:t>three</w:t>
      </w:r>
      <w:r w:rsidR="00705E4B" w:rsidRPr="00246761">
        <w:rPr>
          <w:rFonts w:ascii="Arial" w:hAnsi="Arial" w:cs="Arial"/>
          <w:color w:val="0B0C0C"/>
          <w:lang w:eastAsia="en-GB"/>
        </w:rPr>
        <w:t xml:space="preserve"> years, up from </w:t>
      </w:r>
      <w:r w:rsidR="00246761" w:rsidRPr="00246761">
        <w:rPr>
          <w:rFonts w:ascii="Arial" w:hAnsi="Arial" w:cs="Arial"/>
          <w:color w:val="0B0C0C"/>
          <w:lang w:eastAsia="en-GB"/>
        </w:rPr>
        <w:t>two</w:t>
      </w:r>
      <w:r w:rsidR="00705E4B" w:rsidRPr="00246761">
        <w:rPr>
          <w:rFonts w:ascii="Arial" w:hAnsi="Arial" w:cs="Arial"/>
          <w:color w:val="0B0C0C"/>
          <w:lang w:eastAsia="en-GB"/>
        </w:rPr>
        <w:t xml:space="preserve"> years </w:t>
      </w:r>
    </w:p>
    <w:p w14:paraId="7A4887D7" w14:textId="0576F4B8" w:rsidR="00705E4B" w:rsidRPr="00246761" w:rsidRDefault="00705E4B" w:rsidP="00246761">
      <w:pPr>
        <w:pStyle w:val="ListParagraph"/>
        <w:numPr>
          <w:ilvl w:val="0"/>
          <w:numId w:val="42"/>
        </w:numPr>
        <w:spacing w:after="0" w:line="240" w:lineRule="auto"/>
        <w:textAlignment w:val="baseline"/>
        <w:rPr>
          <w:rFonts w:ascii="Arial" w:hAnsi="Arial" w:cs="Arial"/>
          <w:lang w:eastAsia="en-GB"/>
        </w:rPr>
      </w:pPr>
      <w:r w:rsidRPr="00246761">
        <w:rPr>
          <w:rFonts w:ascii="Arial" w:hAnsi="Arial" w:cs="Arial"/>
          <w:color w:val="0B0C0C"/>
          <w:lang w:eastAsia="en-GB"/>
        </w:rPr>
        <w:t xml:space="preserve">new ‘second loans’ available for businesses that have been trading for up to </w:t>
      </w:r>
      <w:r w:rsidR="00246761" w:rsidRPr="00246761">
        <w:rPr>
          <w:rFonts w:ascii="Arial" w:hAnsi="Arial" w:cs="Arial"/>
          <w:color w:val="0B0C0C"/>
          <w:lang w:eastAsia="en-GB"/>
        </w:rPr>
        <w:t>five</w:t>
      </w:r>
      <w:r w:rsidRPr="00246761">
        <w:rPr>
          <w:rFonts w:ascii="Arial" w:hAnsi="Arial" w:cs="Arial"/>
          <w:color w:val="0B0C0C"/>
          <w:lang w:eastAsia="en-GB"/>
        </w:rPr>
        <w:t xml:space="preserve"> years </w:t>
      </w:r>
    </w:p>
    <w:p w14:paraId="0E689089" w14:textId="77777777" w:rsidR="00246761" w:rsidRDefault="00246761" w:rsidP="00246761">
      <w:pPr>
        <w:textAlignment w:val="baseline"/>
        <w:rPr>
          <w:rFonts w:ascii="Arial" w:hAnsi="Arial" w:cs="Arial"/>
          <w:color w:val="0B0C0C"/>
          <w:sz w:val="22"/>
          <w:szCs w:val="22"/>
          <w:lang w:eastAsia="en-GB"/>
        </w:rPr>
      </w:pPr>
    </w:p>
    <w:p w14:paraId="77DAA65F" w14:textId="106B1834" w:rsidR="00705E4B" w:rsidRPr="00246761" w:rsidRDefault="00246761" w:rsidP="00246761">
      <w:pPr>
        <w:textAlignment w:val="baseline"/>
        <w:rPr>
          <w:rFonts w:ascii="Arial" w:hAnsi="Arial" w:cs="Arial"/>
          <w:sz w:val="22"/>
          <w:szCs w:val="22"/>
          <w:lang w:eastAsia="en-GB"/>
        </w:rPr>
      </w:pPr>
      <w:r w:rsidRPr="00246761">
        <w:rPr>
          <w:rFonts w:ascii="Arial" w:hAnsi="Arial" w:cs="Arial"/>
          <w:color w:val="0B0C0C"/>
          <w:sz w:val="22"/>
          <w:szCs w:val="22"/>
          <w:lang w:eastAsia="en-GB"/>
        </w:rPr>
        <w:t xml:space="preserve">These </w:t>
      </w:r>
      <w:r w:rsidR="00705E4B" w:rsidRPr="00246761">
        <w:rPr>
          <w:rFonts w:ascii="Arial" w:hAnsi="Arial" w:cs="Arial"/>
          <w:color w:val="0B0C0C"/>
          <w:sz w:val="22"/>
          <w:szCs w:val="22"/>
          <w:lang w:eastAsia="en-GB"/>
        </w:rPr>
        <w:t>loans provide much-needed support for the UK’s innovators and entrepreneurs</w:t>
      </w:r>
      <w:r w:rsidRPr="00246761">
        <w:rPr>
          <w:rFonts w:ascii="Arial" w:hAnsi="Arial" w:cs="Arial"/>
          <w:color w:val="0B0C0C"/>
          <w:sz w:val="22"/>
          <w:szCs w:val="22"/>
          <w:lang w:eastAsia="en-GB"/>
        </w:rPr>
        <w:t>. F</w:t>
      </w:r>
      <w:r w:rsidR="00705E4B" w:rsidRPr="00246761">
        <w:rPr>
          <w:rFonts w:ascii="Arial" w:hAnsi="Arial" w:cs="Arial"/>
          <w:color w:val="0B0C0C"/>
          <w:sz w:val="22"/>
          <w:szCs w:val="22"/>
          <w:lang w:eastAsia="en-GB"/>
        </w:rPr>
        <w:t xml:space="preserve">ind </w:t>
      </w:r>
      <w:r w:rsidRPr="00246761">
        <w:rPr>
          <w:rFonts w:ascii="Arial" w:hAnsi="Arial" w:cs="Arial"/>
          <w:color w:val="0B0C0C"/>
          <w:sz w:val="22"/>
          <w:szCs w:val="22"/>
          <w:lang w:eastAsia="en-GB"/>
        </w:rPr>
        <w:t xml:space="preserve">out </w:t>
      </w:r>
      <w:r w:rsidR="00705E4B" w:rsidRPr="00246761">
        <w:rPr>
          <w:rFonts w:ascii="Arial" w:hAnsi="Arial" w:cs="Arial"/>
          <w:color w:val="0B0C0C"/>
          <w:sz w:val="22"/>
          <w:szCs w:val="22"/>
          <w:lang w:eastAsia="en-GB"/>
        </w:rPr>
        <w:t xml:space="preserve">more </w:t>
      </w:r>
      <w:hyperlink r:id="rId14" w:tgtFrame="_blank" w:history="1">
        <w:r w:rsidR="00705E4B" w:rsidRPr="00246761">
          <w:rPr>
            <w:rStyle w:val="Hyperlink"/>
            <w:rFonts w:ascii="Arial" w:hAnsi="Arial" w:cs="Arial"/>
            <w:sz w:val="22"/>
            <w:szCs w:val="22"/>
            <w:lang w:eastAsia="en-GB"/>
          </w:rPr>
          <w:t>here</w:t>
        </w:r>
      </w:hyperlink>
      <w:r w:rsidR="006F7DA7">
        <w:rPr>
          <w:rStyle w:val="Hyperlink"/>
          <w:rFonts w:ascii="Arial" w:hAnsi="Arial" w:cs="Arial"/>
          <w:sz w:val="22"/>
          <w:szCs w:val="22"/>
          <w:lang w:eastAsia="en-GB"/>
        </w:rPr>
        <w:t>.</w:t>
      </w:r>
      <w:r w:rsidR="00705E4B" w:rsidRPr="00246761">
        <w:rPr>
          <w:rFonts w:ascii="Arial" w:hAnsi="Arial" w:cs="Arial"/>
          <w:color w:val="0563C1"/>
          <w:sz w:val="22"/>
          <w:szCs w:val="22"/>
          <w:lang w:eastAsia="en-GB"/>
        </w:rPr>
        <w:t> </w:t>
      </w:r>
    </w:p>
    <w:p w14:paraId="6D4F2F23" w14:textId="77777777" w:rsidR="00705E4B" w:rsidRPr="00246761" w:rsidRDefault="00705E4B" w:rsidP="00246761">
      <w:pPr>
        <w:rPr>
          <w:rFonts w:ascii="Arial" w:hAnsi="Arial" w:cs="Arial"/>
          <w:b/>
          <w:sz w:val="22"/>
          <w:szCs w:val="22"/>
        </w:rPr>
      </w:pPr>
    </w:p>
    <w:p w14:paraId="6C616E3C" w14:textId="77777777" w:rsidR="00705E4B" w:rsidRPr="009E564F" w:rsidRDefault="00705E4B" w:rsidP="009E564F">
      <w:pPr>
        <w:textAlignment w:val="baseline"/>
        <w:rPr>
          <w:rFonts w:ascii="Arial" w:hAnsi="Arial" w:cs="Arial"/>
          <w:b/>
          <w:bCs/>
          <w:sz w:val="22"/>
          <w:szCs w:val="22"/>
          <w:lang w:eastAsia="en-GB"/>
        </w:rPr>
      </w:pPr>
      <w:r w:rsidRPr="009E564F">
        <w:rPr>
          <w:rFonts w:ascii="Arial" w:hAnsi="Arial" w:cs="Arial"/>
          <w:b/>
          <w:bCs/>
          <w:sz w:val="22"/>
          <w:szCs w:val="22"/>
          <w:lang w:eastAsia="en-GB"/>
        </w:rPr>
        <w:t>Recovery loan scheme</w:t>
      </w:r>
    </w:p>
    <w:p w14:paraId="70CEF545" w14:textId="77777777" w:rsidR="00705E4B" w:rsidRPr="009E564F" w:rsidRDefault="00705E4B" w:rsidP="009E564F">
      <w:pPr>
        <w:textAlignment w:val="baseline"/>
        <w:rPr>
          <w:rFonts w:ascii="Arial" w:hAnsi="Arial" w:cs="Arial"/>
          <w:sz w:val="22"/>
          <w:szCs w:val="22"/>
          <w:lang w:eastAsia="en-GB"/>
        </w:rPr>
      </w:pPr>
      <w:r w:rsidRPr="009E564F">
        <w:rPr>
          <w:rFonts w:ascii="Arial" w:hAnsi="Arial" w:cs="Arial"/>
          <w:color w:val="000000"/>
          <w:sz w:val="22"/>
          <w:szCs w:val="22"/>
          <w:lang w:eastAsia="en-GB"/>
        </w:rPr>
        <w:t xml:space="preserve">The </w:t>
      </w:r>
      <w:hyperlink r:id="rId15" w:history="1">
        <w:r w:rsidRPr="009E564F">
          <w:rPr>
            <w:rStyle w:val="Hyperlink"/>
            <w:rFonts w:ascii="Arial" w:hAnsi="Arial" w:cs="Arial"/>
            <w:sz w:val="22"/>
            <w:szCs w:val="22"/>
            <w:lang w:eastAsia="en-GB"/>
          </w:rPr>
          <w:t>Recovery Loan Scheme</w:t>
        </w:r>
      </w:hyperlink>
      <w:r w:rsidRPr="009E564F">
        <w:rPr>
          <w:rFonts w:ascii="Arial" w:hAnsi="Arial" w:cs="Arial"/>
          <w:color w:val="000000"/>
          <w:sz w:val="22"/>
          <w:szCs w:val="22"/>
          <w:lang w:eastAsia="en-GB"/>
        </w:rPr>
        <w:t xml:space="preserve">, launched in April 2021 to help businesses recovering from the pandemic, has been extended to 2024. Details of the scheme and eligibility criteria can be found on the British Business Bank website </w:t>
      </w:r>
      <w:hyperlink r:id="rId16" w:history="1">
        <w:r w:rsidRPr="009E564F">
          <w:rPr>
            <w:rStyle w:val="Hyperlink"/>
            <w:rFonts w:ascii="Arial" w:hAnsi="Arial" w:cs="Arial"/>
            <w:sz w:val="22"/>
            <w:szCs w:val="22"/>
            <w:lang w:eastAsia="en-GB"/>
          </w:rPr>
          <w:t>FAQs</w:t>
        </w:r>
      </w:hyperlink>
      <w:r w:rsidRPr="009E564F">
        <w:rPr>
          <w:rFonts w:ascii="Arial" w:hAnsi="Arial" w:cs="Arial"/>
          <w:color w:val="000000"/>
          <w:sz w:val="22"/>
          <w:szCs w:val="22"/>
          <w:lang w:eastAsia="en-GB"/>
        </w:rPr>
        <w:t>.</w:t>
      </w:r>
    </w:p>
    <w:p w14:paraId="5C6A39DC" w14:textId="2C3EB941" w:rsidR="00705E4B" w:rsidRPr="009E564F" w:rsidRDefault="00705E4B" w:rsidP="009E564F">
      <w:pPr>
        <w:rPr>
          <w:rFonts w:ascii="Arial" w:hAnsi="Arial" w:cs="Arial"/>
          <w:b/>
          <w:sz w:val="22"/>
          <w:szCs w:val="22"/>
        </w:rPr>
      </w:pPr>
    </w:p>
    <w:p w14:paraId="558DB51A" w14:textId="4EC19745" w:rsidR="007478EE" w:rsidRPr="00246761" w:rsidRDefault="007478EE" w:rsidP="009E564F">
      <w:pPr>
        <w:rPr>
          <w:rFonts w:ascii="Arial" w:hAnsi="Arial" w:cs="Arial"/>
          <w:b/>
          <w:bCs/>
          <w:sz w:val="22"/>
          <w:szCs w:val="22"/>
        </w:rPr>
      </w:pPr>
      <w:r w:rsidRPr="00246761">
        <w:rPr>
          <w:rFonts w:ascii="Arial" w:hAnsi="Arial" w:cs="Arial"/>
          <w:b/>
          <w:bCs/>
          <w:sz w:val="22"/>
          <w:szCs w:val="22"/>
        </w:rPr>
        <w:t>Government grants to install electric vehicle charge</w:t>
      </w:r>
      <w:r w:rsidR="00246761">
        <w:rPr>
          <w:rFonts w:ascii="Arial" w:hAnsi="Arial" w:cs="Arial"/>
          <w:b/>
          <w:bCs/>
          <w:sz w:val="22"/>
          <w:szCs w:val="22"/>
        </w:rPr>
        <w:t xml:space="preserve"> </w:t>
      </w:r>
      <w:r w:rsidRPr="00246761">
        <w:rPr>
          <w:rFonts w:ascii="Arial" w:hAnsi="Arial" w:cs="Arial"/>
          <w:b/>
          <w:bCs/>
          <w:sz w:val="22"/>
          <w:szCs w:val="22"/>
        </w:rPr>
        <w:t xml:space="preserve">points </w:t>
      </w:r>
    </w:p>
    <w:p w14:paraId="38698083" w14:textId="73D5235B" w:rsidR="007478EE" w:rsidRPr="00246761" w:rsidRDefault="007478EE" w:rsidP="009E564F">
      <w:pPr>
        <w:rPr>
          <w:rFonts w:ascii="Arial" w:hAnsi="Arial" w:cs="Arial"/>
          <w:sz w:val="22"/>
          <w:szCs w:val="22"/>
        </w:rPr>
      </w:pPr>
      <w:r w:rsidRPr="00246761">
        <w:rPr>
          <w:rFonts w:ascii="Arial" w:hAnsi="Arial" w:cs="Arial"/>
          <w:sz w:val="22"/>
          <w:szCs w:val="22"/>
        </w:rPr>
        <w:t>You can potentially claim 100% of the costs of installing an electric vehicle charging point as a capital allowance. The government will legislate in Spring Finance Bill 2023 to extend the 100% First Year Allowance for electric vehicle charge</w:t>
      </w:r>
      <w:r w:rsidR="00246761">
        <w:rPr>
          <w:rFonts w:ascii="Arial" w:hAnsi="Arial" w:cs="Arial"/>
          <w:sz w:val="22"/>
          <w:szCs w:val="22"/>
        </w:rPr>
        <w:t xml:space="preserve"> </w:t>
      </w:r>
      <w:r w:rsidRPr="00246761">
        <w:rPr>
          <w:rFonts w:ascii="Arial" w:hAnsi="Arial" w:cs="Arial"/>
          <w:sz w:val="22"/>
          <w:szCs w:val="22"/>
        </w:rPr>
        <w:t>points to 31 March 2025 for corporation tax purposes and 5 April 2025 for income tax purposes.</w:t>
      </w:r>
    </w:p>
    <w:p w14:paraId="4273E1CE" w14:textId="77777777" w:rsidR="007478EE" w:rsidRPr="00246761" w:rsidRDefault="007478EE" w:rsidP="009E564F">
      <w:pPr>
        <w:rPr>
          <w:rFonts w:ascii="Arial" w:hAnsi="Arial" w:cs="Arial"/>
          <w:sz w:val="22"/>
          <w:szCs w:val="22"/>
        </w:rPr>
      </w:pPr>
    </w:p>
    <w:p w14:paraId="0719A36D" w14:textId="52E1AEAF" w:rsidR="00E56800" w:rsidRPr="00242A37" w:rsidRDefault="00E56800" w:rsidP="00E56800">
      <w:pPr>
        <w:rPr>
          <w:rFonts w:ascii="Arial" w:eastAsia="Arial" w:hAnsi="Arial" w:cs="Arial"/>
          <w:b/>
          <w:bCs/>
          <w:sz w:val="22"/>
          <w:szCs w:val="22"/>
        </w:rPr>
      </w:pPr>
      <w:r w:rsidRPr="00242A37">
        <w:rPr>
          <w:rFonts w:ascii="Arial" w:eastAsia="Arial" w:hAnsi="Arial" w:cs="Arial"/>
          <w:b/>
          <w:bCs/>
          <w:sz w:val="22"/>
          <w:szCs w:val="22"/>
        </w:rPr>
        <w:t xml:space="preserve">Scotland </w:t>
      </w:r>
      <w:r w:rsidR="006F7DA7">
        <w:rPr>
          <w:rFonts w:ascii="Arial" w:eastAsia="Arial" w:hAnsi="Arial" w:cs="Arial"/>
          <w:b/>
          <w:bCs/>
          <w:sz w:val="22"/>
          <w:szCs w:val="22"/>
        </w:rPr>
        <w:t>and</w:t>
      </w:r>
      <w:r w:rsidRPr="00242A37">
        <w:rPr>
          <w:rFonts w:ascii="Arial" w:eastAsia="Arial" w:hAnsi="Arial" w:cs="Arial"/>
          <w:b/>
          <w:bCs/>
          <w:sz w:val="22"/>
          <w:szCs w:val="22"/>
        </w:rPr>
        <w:t xml:space="preserve"> Wales</w:t>
      </w:r>
    </w:p>
    <w:p w14:paraId="6C35A6FE" w14:textId="43C52EC0" w:rsidR="00D677D7" w:rsidRPr="00242A37" w:rsidRDefault="00C72760" w:rsidP="00E56800">
      <w:pPr>
        <w:rPr>
          <w:rFonts w:ascii="Arial" w:hAnsi="Arial" w:cs="Arial"/>
          <w:b/>
          <w:sz w:val="22"/>
          <w:szCs w:val="22"/>
        </w:rPr>
      </w:pPr>
      <w:r>
        <w:rPr>
          <w:rFonts w:ascii="Arial" w:eastAsia="Arial" w:hAnsi="Arial" w:cs="Arial"/>
          <w:sz w:val="22"/>
          <w:szCs w:val="22"/>
        </w:rPr>
        <w:t>M</w:t>
      </w:r>
      <w:r w:rsidR="00E56800" w:rsidRPr="00242A37">
        <w:rPr>
          <w:rFonts w:ascii="Arial" w:eastAsia="Arial" w:hAnsi="Arial" w:cs="Arial"/>
          <w:sz w:val="22"/>
          <w:szCs w:val="22"/>
        </w:rPr>
        <w:t xml:space="preserve">ore detailed information about the impact on devolved budgets will be expected when the Welsh and Scottish </w:t>
      </w:r>
      <w:r w:rsidR="009E564F">
        <w:rPr>
          <w:rFonts w:ascii="Arial" w:eastAsia="Arial" w:hAnsi="Arial" w:cs="Arial"/>
          <w:sz w:val="22"/>
          <w:szCs w:val="22"/>
        </w:rPr>
        <w:t>g</w:t>
      </w:r>
      <w:r w:rsidR="00E56800" w:rsidRPr="00242A37">
        <w:rPr>
          <w:rFonts w:ascii="Arial" w:eastAsia="Arial" w:hAnsi="Arial" w:cs="Arial"/>
          <w:sz w:val="22"/>
          <w:szCs w:val="22"/>
        </w:rPr>
        <w:t>overnments announce their budgets, expected to be on 13 and 15 December, respectively.</w:t>
      </w:r>
    </w:p>
    <w:p w14:paraId="79C821F2" w14:textId="77777777" w:rsidR="00D677D7" w:rsidRDefault="00D677D7" w:rsidP="009C5F6B">
      <w:pPr>
        <w:rPr>
          <w:rFonts w:ascii="Arial" w:hAnsi="Arial" w:cs="Arial"/>
          <w:b/>
          <w:sz w:val="22"/>
          <w:szCs w:val="22"/>
        </w:rPr>
      </w:pPr>
    </w:p>
    <w:p w14:paraId="72D2326E" w14:textId="77777777" w:rsidR="00980DCD" w:rsidRPr="00242A37" w:rsidRDefault="00980DCD" w:rsidP="009C5F6B">
      <w:pPr>
        <w:rPr>
          <w:rFonts w:ascii="Arial" w:hAnsi="Arial" w:cs="Arial"/>
          <w:b/>
          <w:sz w:val="22"/>
          <w:szCs w:val="22"/>
        </w:rPr>
      </w:pPr>
    </w:p>
    <w:p w14:paraId="4B5CB8C0" w14:textId="77777777" w:rsidR="00D677D7" w:rsidRPr="00242A37" w:rsidRDefault="00D677D7" w:rsidP="009C5F6B">
      <w:pPr>
        <w:rPr>
          <w:rFonts w:ascii="Arial" w:hAnsi="Arial" w:cs="Arial"/>
          <w:b/>
          <w:sz w:val="22"/>
          <w:szCs w:val="22"/>
        </w:rPr>
      </w:pPr>
    </w:p>
    <w:p w14:paraId="7A82B5BF" w14:textId="605E23D4" w:rsidR="009C5F6B" w:rsidRPr="00242A37" w:rsidRDefault="00DC63C1" w:rsidP="009C5F6B">
      <w:pPr>
        <w:rPr>
          <w:rFonts w:ascii="Arial" w:hAnsi="Arial" w:cs="Arial"/>
          <w:b/>
          <w:sz w:val="22"/>
          <w:szCs w:val="22"/>
        </w:rPr>
      </w:pPr>
      <w:r w:rsidRPr="00242A37">
        <w:rPr>
          <w:rFonts w:ascii="Arial" w:hAnsi="Arial" w:cs="Arial"/>
          <w:b/>
          <w:sz w:val="22"/>
          <w:szCs w:val="22"/>
        </w:rPr>
        <w:t>November</w:t>
      </w:r>
      <w:r w:rsidR="00D157D2" w:rsidRPr="00242A37">
        <w:rPr>
          <w:rFonts w:ascii="Arial" w:hAnsi="Arial" w:cs="Arial"/>
          <w:b/>
          <w:sz w:val="22"/>
          <w:szCs w:val="22"/>
        </w:rPr>
        <w:t xml:space="preserve"> 2022</w:t>
      </w:r>
    </w:p>
    <w:p w14:paraId="2AE13E00" w14:textId="77777777" w:rsidR="009C5F6B" w:rsidRPr="00242A37" w:rsidRDefault="009C5F6B" w:rsidP="00FA576A">
      <w:pPr>
        <w:rPr>
          <w:rFonts w:ascii="Arial" w:hAnsi="Arial" w:cs="Arial"/>
          <w:sz w:val="22"/>
          <w:szCs w:val="22"/>
        </w:rPr>
      </w:pPr>
    </w:p>
    <w:p w14:paraId="41779025" w14:textId="77777777" w:rsidR="00DA1DD0" w:rsidRPr="00242A37" w:rsidRDefault="00DA1DD0" w:rsidP="00FA576A">
      <w:pPr>
        <w:rPr>
          <w:rFonts w:ascii="Arial" w:hAnsi="Arial" w:cs="Arial"/>
          <w:b/>
          <w:sz w:val="20"/>
          <w:szCs w:val="20"/>
        </w:rPr>
      </w:pPr>
      <w:r w:rsidRPr="00242A37">
        <w:rPr>
          <w:rFonts w:ascii="Arial" w:hAnsi="Arial" w:cs="Arial"/>
          <w:b/>
          <w:sz w:val="20"/>
          <w:szCs w:val="20"/>
        </w:rPr>
        <w:t>ACCA LEGAL NOTICE</w:t>
      </w:r>
    </w:p>
    <w:p w14:paraId="6B16243E" w14:textId="12DC46AF" w:rsidR="00351B17" w:rsidRPr="00242A37" w:rsidRDefault="00DA1DD0">
      <w:pPr>
        <w:spacing w:before="240"/>
        <w:rPr>
          <w:rFonts w:ascii="Arial" w:hAnsi="Arial" w:cs="Arial"/>
          <w:bCs/>
          <w:iCs/>
          <w:sz w:val="20"/>
          <w:szCs w:val="20"/>
        </w:rPr>
      </w:pPr>
      <w:r w:rsidRPr="00242A37">
        <w:rPr>
          <w:rFonts w:ascii="Arial" w:hAnsi="Arial" w:cs="Arial"/>
          <w:bCs/>
          <w:sz w:val="20"/>
          <w:szCs w:val="20"/>
        </w:rPr>
        <w:t xml:space="preserve">This is a basic guide prepared by </w:t>
      </w:r>
      <w:r w:rsidRPr="00242A37">
        <w:rPr>
          <w:rStyle w:val="Emphasis"/>
          <w:rFonts w:ascii="Arial" w:hAnsi="Arial" w:cs="Arial"/>
          <w:bCs/>
          <w:i w:val="0"/>
          <w:sz w:val="20"/>
          <w:szCs w:val="20"/>
        </w:rPr>
        <w:t>ACCA UK</w:t>
      </w:r>
      <w:r w:rsidRPr="00242A37">
        <w:rPr>
          <w:rFonts w:ascii="Arial" w:hAnsi="Arial" w:cs="Arial"/>
          <w:bCs/>
          <w:iCs/>
          <w:sz w:val="20"/>
          <w:szCs w:val="20"/>
        </w:rPr>
        <w:t xml:space="preserve">'s Technical Advisory Service for members and their clients. It should not be used as a definitive guide since individual circumstances may vary. Specific advice should be obtained, where </w:t>
      </w:r>
      <w:r w:rsidR="00D677D7" w:rsidRPr="00242A37">
        <w:rPr>
          <w:rFonts w:ascii="Arial" w:hAnsi="Arial" w:cs="Arial"/>
          <w:bCs/>
          <w:iCs/>
          <w:sz w:val="20"/>
          <w:szCs w:val="20"/>
        </w:rPr>
        <w:t>n</w:t>
      </w:r>
      <w:r w:rsidRPr="00242A37">
        <w:rPr>
          <w:rFonts w:ascii="Arial" w:hAnsi="Arial" w:cs="Arial"/>
          <w:bCs/>
          <w:iCs/>
          <w:sz w:val="20"/>
          <w:szCs w:val="20"/>
        </w:rPr>
        <w:t>ecessary.</w:t>
      </w:r>
    </w:p>
    <w:sectPr w:rsidR="00351B17" w:rsidRPr="00242A37" w:rsidSect="00742988">
      <w:headerReference w:type="default" r:id="rId17"/>
      <w:footerReference w:type="default" r:id="rId18"/>
      <w:headerReference w:type="first" r:id="rId19"/>
      <w:footerReference w:type="first" r:id="rId20"/>
      <w:pgSz w:w="11907" w:h="16840" w:code="9"/>
      <w:pgMar w:top="1134" w:right="1134" w:bottom="113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B17E" w14:textId="77777777" w:rsidR="005026BA" w:rsidRDefault="005026BA">
      <w:r>
        <w:separator/>
      </w:r>
    </w:p>
  </w:endnote>
  <w:endnote w:type="continuationSeparator" w:id="0">
    <w:p w14:paraId="7A53C97F" w14:textId="77777777" w:rsidR="005026BA" w:rsidRDefault="005026BA">
      <w:r>
        <w:continuationSeparator/>
      </w:r>
    </w:p>
  </w:endnote>
  <w:endnote w:type="continuationNotice" w:id="1">
    <w:p w14:paraId="16CF80B3" w14:textId="77777777" w:rsidR="005026BA" w:rsidRDefault="0050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FD16" w14:textId="77777777" w:rsidR="00582450" w:rsidRDefault="00582450">
    <w:pPr>
      <w:pStyle w:val="Footer"/>
      <w:jc w:val="center"/>
      <w:rPr>
        <w:rFonts w:ascii="NewsGoth BT" w:hAnsi="NewsGoth BT"/>
        <w:sz w:val="20"/>
        <w:szCs w:val="20"/>
      </w:rPr>
    </w:pPr>
  </w:p>
  <w:p w14:paraId="0AF00279" w14:textId="77777777" w:rsidR="00582450" w:rsidRPr="00D8518A" w:rsidRDefault="00582450">
    <w:pPr>
      <w:pStyle w:val="Footer"/>
      <w:jc w:val="center"/>
      <w:rPr>
        <w:rFonts w:ascii="Arial" w:hAnsi="Arial" w:cs="Arial"/>
        <w:sz w:val="20"/>
        <w:szCs w:val="20"/>
      </w:rPr>
    </w:pPr>
    <w:r w:rsidRPr="00D8518A">
      <w:rPr>
        <w:rFonts w:ascii="Arial" w:hAnsi="Arial" w:cs="Arial"/>
        <w:sz w:val="20"/>
        <w:szCs w:val="20"/>
      </w:rPr>
      <w:fldChar w:fldCharType="begin"/>
    </w:r>
    <w:r w:rsidRPr="00D8518A">
      <w:rPr>
        <w:rFonts w:ascii="Arial" w:hAnsi="Arial" w:cs="Arial"/>
        <w:sz w:val="20"/>
        <w:szCs w:val="20"/>
      </w:rPr>
      <w:instrText xml:space="preserve"> PAGE   \* MERGEFORMAT </w:instrText>
    </w:r>
    <w:r w:rsidRPr="00D8518A">
      <w:rPr>
        <w:rFonts w:ascii="Arial" w:hAnsi="Arial" w:cs="Arial"/>
        <w:sz w:val="20"/>
        <w:szCs w:val="20"/>
      </w:rPr>
      <w:fldChar w:fldCharType="separate"/>
    </w:r>
    <w:r w:rsidR="00780825" w:rsidRPr="00D8518A">
      <w:rPr>
        <w:rFonts w:ascii="Arial" w:hAnsi="Arial" w:cs="Arial"/>
        <w:noProof/>
        <w:sz w:val="20"/>
        <w:szCs w:val="20"/>
      </w:rPr>
      <w:t>2</w:t>
    </w:r>
    <w:r w:rsidRPr="00D8518A">
      <w:rPr>
        <w:rFonts w:ascii="Arial" w:hAnsi="Arial" w:cs="Arial"/>
        <w:sz w:val="20"/>
        <w:szCs w:val="20"/>
      </w:rPr>
      <w:fldChar w:fldCharType="end"/>
    </w:r>
  </w:p>
  <w:p w14:paraId="349B8864" w14:textId="77777777" w:rsidR="00582450" w:rsidRPr="009118B9" w:rsidRDefault="00582450" w:rsidP="009118B9">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15AD" w14:textId="77777777" w:rsidR="00582450" w:rsidRDefault="00582450">
    <w:pPr>
      <w:pStyle w:val="Footer"/>
      <w:jc w:val="center"/>
    </w:pPr>
  </w:p>
  <w:p w14:paraId="5CE98D26" w14:textId="77777777" w:rsidR="00582450" w:rsidRPr="00826DC4" w:rsidRDefault="00582450" w:rsidP="00060939">
    <w:pPr>
      <w:pStyle w:val="Footer"/>
      <w:jc w:val="center"/>
      <w:rPr>
        <w:rFonts w:ascii="Arial" w:hAnsi="Arial" w:cs="Arial"/>
        <w:sz w:val="20"/>
        <w:szCs w:val="20"/>
      </w:rPr>
    </w:pPr>
    <w:r w:rsidRPr="00826DC4">
      <w:rPr>
        <w:rFonts w:ascii="Arial" w:hAnsi="Arial" w:cs="Arial"/>
        <w:sz w:val="20"/>
        <w:szCs w:val="20"/>
      </w:rPr>
      <w:fldChar w:fldCharType="begin"/>
    </w:r>
    <w:r w:rsidRPr="00826DC4">
      <w:rPr>
        <w:rFonts w:ascii="Arial" w:hAnsi="Arial" w:cs="Arial"/>
        <w:sz w:val="20"/>
        <w:szCs w:val="20"/>
      </w:rPr>
      <w:instrText xml:space="preserve"> PAGE   \* MERGEFORMAT </w:instrText>
    </w:r>
    <w:r w:rsidRPr="00826DC4">
      <w:rPr>
        <w:rFonts w:ascii="Arial" w:hAnsi="Arial" w:cs="Arial"/>
        <w:sz w:val="20"/>
        <w:szCs w:val="20"/>
      </w:rPr>
      <w:fldChar w:fldCharType="separate"/>
    </w:r>
    <w:r w:rsidR="00780825" w:rsidRPr="00826DC4">
      <w:rPr>
        <w:rFonts w:ascii="Arial" w:hAnsi="Arial" w:cs="Arial"/>
        <w:noProof/>
        <w:sz w:val="20"/>
        <w:szCs w:val="20"/>
      </w:rPr>
      <w:t>1</w:t>
    </w:r>
    <w:r w:rsidRPr="00826DC4">
      <w:rPr>
        <w:rFonts w:ascii="Arial" w:hAnsi="Arial" w:cs="Arial"/>
        <w:sz w:val="20"/>
        <w:szCs w:val="20"/>
      </w:rPr>
      <w:fldChar w:fldCharType="end"/>
    </w:r>
  </w:p>
  <w:p w14:paraId="06D8DC06" w14:textId="77777777" w:rsidR="00582450" w:rsidRDefault="0058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ADDF" w14:textId="77777777" w:rsidR="005026BA" w:rsidRDefault="005026BA">
      <w:r>
        <w:separator/>
      </w:r>
    </w:p>
  </w:footnote>
  <w:footnote w:type="continuationSeparator" w:id="0">
    <w:p w14:paraId="100DF668" w14:textId="77777777" w:rsidR="005026BA" w:rsidRDefault="005026BA">
      <w:r>
        <w:continuationSeparator/>
      </w:r>
    </w:p>
  </w:footnote>
  <w:footnote w:type="continuationNotice" w:id="1">
    <w:p w14:paraId="1E061B47" w14:textId="77777777" w:rsidR="005026BA" w:rsidRDefault="00502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4AE7" w14:textId="77777777" w:rsidR="00582450" w:rsidRDefault="00582450" w:rsidP="001B6823">
    <w:pPr>
      <w:pStyle w:val="Header"/>
      <w:tabs>
        <w:tab w:val="clear" w:pos="4153"/>
        <w:tab w:val="clear" w:pos="8306"/>
        <w:tab w:val="left" w:pos="5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3C4E" w14:textId="2CA920D6" w:rsidR="00582450" w:rsidRPr="00955165" w:rsidRDefault="00A75D98" w:rsidP="00A75D98">
    <w:pPr>
      <w:pStyle w:val="Header"/>
      <w:jc w:val="right"/>
      <w:rPr>
        <w:rFonts w:ascii="Arial" w:hAnsi="Arial" w:cs="Arial"/>
        <w:noProof/>
        <w:color w:val="000000"/>
        <w:sz w:val="20"/>
        <w:szCs w:val="20"/>
        <w:lang w:eastAsia="en-GB"/>
      </w:rPr>
    </w:pPr>
    <w:r w:rsidRPr="00F378E2">
      <w:rPr>
        <w:noProof/>
        <w:lang w:eastAsia="en-GB"/>
      </w:rPr>
      <w:drawing>
        <wp:inline distT="0" distB="0" distL="0" distR="0" wp14:anchorId="6F5D794C" wp14:editId="7003445B">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1BBD4DB6" w14:textId="77777777" w:rsidR="00582450" w:rsidRDefault="00582450"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14:paraId="485AFCA2"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14:paraId="659AB18F"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Pr="001A3DC3">
      <w:rPr>
        <w:rFonts w:ascii="Arial" w:hAnsi="Arial" w:cs="Arial"/>
        <w:bCs/>
        <w:sz w:val="44"/>
        <w:szCs w:val="44"/>
      </w:rPr>
      <w:t>[insert your firm’s name here]</w:t>
    </w:r>
  </w:p>
  <w:p w14:paraId="7A9AAB90" w14:textId="77777777" w:rsidR="00582450" w:rsidRPr="001A3DC3" w:rsidRDefault="00582450"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14:paraId="1AB4B3BE" w14:textId="3A55B546" w:rsidR="00582450" w:rsidRDefault="00582450"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Pr>
        <w:rFonts w:ascii="Arial" w:hAnsi="Arial" w:cs="Arial"/>
        <w:bCs/>
        <w:sz w:val="20"/>
        <w:szCs w:val="20"/>
      </w:rPr>
      <w:t>[insert telephone number here] E</w:t>
    </w:r>
    <w:r w:rsidRPr="00892B85">
      <w:rPr>
        <w:rFonts w:ascii="Arial" w:hAnsi="Arial" w:cs="Arial"/>
        <w:bCs/>
        <w:sz w:val="20"/>
        <w:szCs w:val="20"/>
      </w:rPr>
      <w:t>mail</w:t>
    </w:r>
    <w:r>
      <w:rPr>
        <w:rFonts w:ascii="Arial" w:hAnsi="Arial" w:cs="Arial"/>
        <w:bCs/>
        <w:sz w:val="20"/>
        <w:szCs w:val="20"/>
      </w:rPr>
      <w:t>:</w:t>
    </w:r>
    <w:r w:rsidR="00020C9A">
      <w:rPr>
        <w:rFonts w:ascii="Arial" w:hAnsi="Arial" w:cs="Arial"/>
        <w:bCs/>
        <w:sz w:val="20"/>
        <w:szCs w:val="20"/>
      </w:rPr>
      <w:t xml:space="preserve"> </w:t>
    </w:r>
    <w:r>
      <w:rPr>
        <w:rFonts w:ascii="Arial" w:hAnsi="Arial" w:cs="Arial"/>
        <w:bCs/>
        <w:sz w:val="20"/>
        <w:szCs w:val="20"/>
      </w:rPr>
      <w:t xml:space="preserve">[insert email address here] </w:t>
    </w:r>
    <w:r w:rsidR="00020C9A">
      <w:rPr>
        <w:rFonts w:ascii="Arial" w:hAnsi="Arial" w:cs="Arial"/>
        <w:bCs/>
        <w:sz w:val="20"/>
        <w:szCs w:val="20"/>
      </w:rPr>
      <w:t xml:space="preserve">Website: </w:t>
    </w:r>
    <w:r>
      <w:rPr>
        <w:rFonts w:ascii="Arial" w:hAnsi="Arial" w:cs="Arial"/>
        <w:bCs/>
        <w:sz w:val="20"/>
        <w:szCs w:val="20"/>
      </w:rPr>
      <w:t>[Insert web address here]</w:t>
    </w:r>
  </w:p>
  <w:p w14:paraId="21604064" w14:textId="77777777" w:rsidR="00582450" w:rsidRDefault="00582450" w:rsidP="008A7D29">
    <w:pPr>
      <w:pStyle w:val="Header"/>
      <w:shd w:val="clear" w:color="auto" w:fill="D9D9D9"/>
      <w:tabs>
        <w:tab w:val="clear" w:pos="4153"/>
        <w:tab w:val="clear" w:pos="8306"/>
        <w:tab w:val="left" w:pos="284"/>
      </w:tabs>
      <w:jc w:val="both"/>
      <w:rPr>
        <w:rFonts w:ascii="Arial" w:hAnsi="Arial" w:cs="Arial"/>
        <w:sz w:val="20"/>
        <w:szCs w:val="20"/>
      </w:rPr>
    </w:pPr>
  </w:p>
  <w:p w14:paraId="0492F0EF" w14:textId="77777777" w:rsidR="00582450" w:rsidRDefault="00582450"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t>[Insert a line about your business here]</w:t>
    </w:r>
  </w:p>
  <w:p w14:paraId="1431A192" w14:textId="77777777" w:rsidR="00582450" w:rsidRDefault="00582450" w:rsidP="001B6823">
    <w:pPr>
      <w:pStyle w:val="Header"/>
      <w:tabs>
        <w:tab w:val="clear" w:pos="4153"/>
        <w:tab w:val="clear" w:pos="8306"/>
        <w:tab w:val="left" w:pos="284"/>
      </w:tabs>
      <w:jc w:val="both"/>
      <w:rPr>
        <w:rFonts w:ascii="Arial" w:hAnsi="Arial" w:cs="Arial"/>
        <w:i/>
        <w:color w:val="808080"/>
        <w:sz w:val="18"/>
        <w:szCs w:val="18"/>
      </w:rPr>
    </w:pPr>
  </w:p>
  <w:p w14:paraId="4F101FFA" w14:textId="77777777" w:rsidR="00582450" w:rsidRPr="00826DC4" w:rsidRDefault="00582450" w:rsidP="00B16876">
    <w:pPr>
      <w:pStyle w:val="Header"/>
      <w:tabs>
        <w:tab w:val="clear" w:pos="4153"/>
        <w:tab w:val="clear" w:pos="8306"/>
        <w:tab w:val="left" w:pos="284"/>
      </w:tabs>
      <w:jc w:val="both"/>
      <w:rPr>
        <w:rFonts w:ascii="Arial" w:hAnsi="Arial" w:cs="Arial"/>
        <w:i/>
        <w:color w:val="7F7F7F"/>
        <w:sz w:val="15"/>
        <w:szCs w:val="15"/>
      </w:rPr>
    </w:pPr>
    <w:r w:rsidRPr="00826DC4">
      <w:rPr>
        <w:rFonts w:ascii="Arial" w:hAnsi="Arial" w:cs="Arial"/>
        <w:i/>
        <w:color w:val="7F7F7F"/>
        <w:sz w:val="15"/>
        <w:szCs w:val="15"/>
      </w:rPr>
      <w:tab/>
      <w:t>Edit the above information by clicking directly within the grey panel, or by clicking ‘View’ in the main toolbar and selecting ‘Header and Footer’</w:t>
    </w:r>
  </w:p>
  <w:p w14:paraId="38A78DAA" w14:textId="77777777" w:rsidR="00582450" w:rsidRPr="001A3DC3" w:rsidRDefault="00582450" w:rsidP="001B6823">
    <w:pPr>
      <w:pStyle w:val="Header"/>
      <w:jc w:val="both"/>
      <w:rPr>
        <w:rFonts w:ascii="Arial" w:hAnsi="Arial" w:cs="Arial"/>
        <w:b/>
        <w:bCs/>
        <w:color w:val="808080"/>
        <w:sz w:val="18"/>
        <w:szCs w:val="18"/>
      </w:rPr>
    </w:pPr>
  </w:p>
  <w:p w14:paraId="0EF2966A" w14:textId="77777777" w:rsidR="00582450" w:rsidRPr="00A810D9" w:rsidRDefault="00582450" w:rsidP="001B6823">
    <w:pPr>
      <w:pStyle w:val="Header"/>
      <w:rPr>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A7A"/>
    <w:multiLevelType w:val="hybridMultilevel"/>
    <w:tmpl w:val="AC9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70D0"/>
    <w:multiLevelType w:val="hybridMultilevel"/>
    <w:tmpl w:val="52B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D9F"/>
    <w:multiLevelType w:val="multilevel"/>
    <w:tmpl w:val="397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20B94"/>
    <w:multiLevelType w:val="hybridMultilevel"/>
    <w:tmpl w:val="440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58E8"/>
    <w:multiLevelType w:val="hybridMultilevel"/>
    <w:tmpl w:val="16D4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638DA"/>
    <w:multiLevelType w:val="hybridMultilevel"/>
    <w:tmpl w:val="60A0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F770AA"/>
    <w:multiLevelType w:val="hybridMultilevel"/>
    <w:tmpl w:val="D7D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4F43"/>
    <w:multiLevelType w:val="multilevel"/>
    <w:tmpl w:val="0D0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87031"/>
    <w:multiLevelType w:val="multilevel"/>
    <w:tmpl w:val="9AE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F006E"/>
    <w:multiLevelType w:val="hybridMultilevel"/>
    <w:tmpl w:val="6FD6C40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0" w15:restartNumberingAfterBreak="0">
    <w:nsid w:val="177755EE"/>
    <w:multiLevelType w:val="multilevel"/>
    <w:tmpl w:val="B17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001E7"/>
    <w:multiLevelType w:val="hybridMultilevel"/>
    <w:tmpl w:val="72AE0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BC5743"/>
    <w:multiLevelType w:val="hybridMultilevel"/>
    <w:tmpl w:val="C5747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1068D7"/>
    <w:multiLevelType w:val="hybridMultilevel"/>
    <w:tmpl w:val="7E9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705A6"/>
    <w:multiLevelType w:val="hybridMultilevel"/>
    <w:tmpl w:val="418C1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2087F"/>
    <w:multiLevelType w:val="hybridMultilevel"/>
    <w:tmpl w:val="E5FA4734"/>
    <w:lvl w:ilvl="0" w:tplc="E82CA008">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B3517"/>
    <w:multiLevelType w:val="multilevel"/>
    <w:tmpl w:val="DF0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0402A"/>
    <w:multiLevelType w:val="multilevel"/>
    <w:tmpl w:val="7F7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322E81"/>
    <w:multiLevelType w:val="hybridMultilevel"/>
    <w:tmpl w:val="AFF866F0"/>
    <w:lvl w:ilvl="0" w:tplc="9A3800C2">
      <w:start w:val="1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538FC"/>
    <w:multiLevelType w:val="hybridMultilevel"/>
    <w:tmpl w:val="A64EAAFC"/>
    <w:lvl w:ilvl="0" w:tplc="07943618">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E41C4"/>
    <w:multiLevelType w:val="multilevel"/>
    <w:tmpl w:val="5AB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4472DB"/>
    <w:multiLevelType w:val="hybridMultilevel"/>
    <w:tmpl w:val="F448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3B26877"/>
    <w:multiLevelType w:val="hybridMultilevel"/>
    <w:tmpl w:val="B336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8489D"/>
    <w:multiLevelType w:val="hybridMultilevel"/>
    <w:tmpl w:val="13D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36CD2"/>
    <w:multiLevelType w:val="hybridMultilevel"/>
    <w:tmpl w:val="0CEE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040087"/>
    <w:multiLevelType w:val="hybridMultilevel"/>
    <w:tmpl w:val="054EBF5C"/>
    <w:lvl w:ilvl="0" w:tplc="5310FA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E7AAB"/>
    <w:multiLevelType w:val="hybridMultilevel"/>
    <w:tmpl w:val="ADD65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6446C6F"/>
    <w:multiLevelType w:val="hybridMultilevel"/>
    <w:tmpl w:val="7DC4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73074A"/>
    <w:multiLevelType w:val="multilevel"/>
    <w:tmpl w:val="B6F2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781F8D"/>
    <w:multiLevelType w:val="hybridMultilevel"/>
    <w:tmpl w:val="4618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76307"/>
    <w:multiLevelType w:val="multilevel"/>
    <w:tmpl w:val="8BE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D23996"/>
    <w:multiLevelType w:val="hybridMultilevel"/>
    <w:tmpl w:val="E72E7F36"/>
    <w:lvl w:ilvl="0" w:tplc="08090001">
      <w:start w:val="1"/>
      <w:numFmt w:val="bullet"/>
      <w:lvlText w:val=""/>
      <w:lvlJc w:val="left"/>
      <w:pPr>
        <w:ind w:left="1116" w:hanging="360"/>
      </w:pPr>
      <w:rPr>
        <w:rFonts w:ascii="Symbol" w:hAnsi="Symbol" w:hint="default"/>
      </w:rPr>
    </w:lvl>
    <w:lvl w:ilvl="1" w:tplc="08090003">
      <w:start w:val="1"/>
      <w:numFmt w:val="bullet"/>
      <w:lvlText w:val="o"/>
      <w:lvlJc w:val="left"/>
      <w:pPr>
        <w:ind w:left="1836" w:hanging="360"/>
      </w:pPr>
      <w:rPr>
        <w:rFonts w:ascii="Courier New" w:hAnsi="Courier New" w:hint="default"/>
      </w:rPr>
    </w:lvl>
    <w:lvl w:ilvl="2" w:tplc="08090005">
      <w:start w:val="1"/>
      <w:numFmt w:val="bullet"/>
      <w:lvlText w:val=""/>
      <w:lvlJc w:val="left"/>
      <w:pPr>
        <w:ind w:left="2556" w:hanging="360"/>
      </w:pPr>
      <w:rPr>
        <w:rFonts w:ascii="Wingdings" w:hAnsi="Wingdings" w:hint="default"/>
      </w:rPr>
    </w:lvl>
    <w:lvl w:ilvl="3" w:tplc="08090001">
      <w:start w:val="1"/>
      <w:numFmt w:val="bullet"/>
      <w:lvlText w:val=""/>
      <w:lvlJc w:val="left"/>
      <w:pPr>
        <w:ind w:left="3276" w:hanging="360"/>
      </w:pPr>
      <w:rPr>
        <w:rFonts w:ascii="Symbol" w:hAnsi="Symbol" w:hint="default"/>
      </w:rPr>
    </w:lvl>
    <w:lvl w:ilvl="4" w:tplc="08090003">
      <w:start w:val="1"/>
      <w:numFmt w:val="bullet"/>
      <w:lvlText w:val="o"/>
      <w:lvlJc w:val="left"/>
      <w:pPr>
        <w:ind w:left="3996" w:hanging="360"/>
      </w:pPr>
      <w:rPr>
        <w:rFonts w:ascii="Courier New" w:hAnsi="Courier New" w:hint="default"/>
      </w:rPr>
    </w:lvl>
    <w:lvl w:ilvl="5" w:tplc="08090005">
      <w:start w:val="1"/>
      <w:numFmt w:val="bullet"/>
      <w:lvlText w:val=""/>
      <w:lvlJc w:val="left"/>
      <w:pPr>
        <w:ind w:left="4716" w:hanging="360"/>
      </w:pPr>
      <w:rPr>
        <w:rFonts w:ascii="Wingdings" w:hAnsi="Wingdings" w:hint="default"/>
      </w:rPr>
    </w:lvl>
    <w:lvl w:ilvl="6" w:tplc="08090001">
      <w:start w:val="1"/>
      <w:numFmt w:val="bullet"/>
      <w:lvlText w:val=""/>
      <w:lvlJc w:val="left"/>
      <w:pPr>
        <w:ind w:left="5436" w:hanging="360"/>
      </w:pPr>
      <w:rPr>
        <w:rFonts w:ascii="Symbol" w:hAnsi="Symbol" w:hint="default"/>
      </w:rPr>
    </w:lvl>
    <w:lvl w:ilvl="7" w:tplc="08090003">
      <w:start w:val="1"/>
      <w:numFmt w:val="bullet"/>
      <w:lvlText w:val="o"/>
      <w:lvlJc w:val="left"/>
      <w:pPr>
        <w:ind w:left="6156" w:hanging="360"/>
      </w:pPr>
      <w:rPr>
        <w:rFonts w:ascii="Courier New" w:hAnsi="Courier New" w:hint="default"/>
      </w:rPr>
    </w:lvl>
    <w:lvl w:ilvl="8" w:tplc="08090005">
      <w:start w:val="1"/>
      <w:numFmt w:val="bullet"/>
      <w:lvlText w:val=""/>
      <w:lvlJc w:val="left"/>
      <w:pPr>
        <w:ind w:left="6876" w:hanging="360"/>
      </w:pPr>
      <w:rPr>
        <w:rFonts w:ascii="Wingdings" w:hAnsi="Wingdings" w:hint="default"/>
      </w:rPr>
    </w:lvl>
  </w:abstractNum>
  <w:abstractNum w:abstractNumId="32" w15:restartNumberingAfterBreak="0">
    <w:nsid w:val="593D382B"/>
    <w:multiLevelType w:val="hybridMultilevel"/>
    <w:tmpl w:val="F956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612AC"/>
    <w:multiLevelType w:val="hybridMultilevel"/>
    <w:tmpl w:val="1544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21719"/>
    <w:multiLevelType w:val="hybridMultilevel"/>
    <w:tmpl w:val="90626F90"/>
    <w:lvl w:ilvl="0" w:tplc="9A3800C2">
      <w:start w:val="1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400EF"/>
    <w:multiLevelType w:val="multilevel"/>
    <w:tmpl w:val="15023E04"/>
    <w:lvl w:ilvl="0">
      <w:start w:val="1"/>
      <w:numFmt w:val="bullet"/>
      <w:lvlText w:val=""/>
      <w:lvlJc w:val="left"/>
      <w:pPr>
        <w:tabs>
          <w:tab w:val="num" w:pos="-18"/>
        </w:tabs>
        <w:ind w:left="-18" w:hanging="360"/>
      </w:pPr>
      <w:rPr>
        <w:rFonts w:ascii="Symbol" w:hAnsi="Symbol" w:hint="default"/>
        <w:sz w:val="20"/>
      </w:rPr>
    </w:lvl>
    <w:lvl w:ilvl="1">
      <w:start w:val="1"/>
      <w:numFmt w:val="bullet"/>
      <w:lvlText w:val=""/>
      <w:lvlJc w:val="left"/>
      <w:pPr>
        <w:tabs>
          <w:tab w:val="num" w:pos="702"/>
        </w:tabs>
        <w:ind w:left="702" w:hanging="360"/>
      </w:pPr>
      <w:rPr>
        <w:rFonts w:ascii="Symbol" w:hAnsi="Symbol" w:hint="default"/>
        <w:sz w:val="20"/>
      </w:rPr>
    </w:lvl>
    <w:lvl w:ilvl="2">
      <w:start w:val="1"/>
      <w:numFmt w:val="bullet"/>
      <w:lvlText w:val=""/>
      <w:lvlJc w:val="left"/>
      <w:pPr>
        <w:tabs>
          <w:tab w:val="num" w:pos="1422"/>
        </w:tabs>
        <w:ind w:left="1422" w:hanging="360"/>
      </w:pPr>
      <w:rPr>
        <w:rFonts w:ascii="Symbol" w:hAnsi="Symbol" w:hint="default"/>
        <w:sz w:val="20"/>
      </w:rPr>
    </w:lvl>
    <w:lvl w:ilvl="3">
      <w:start w:val="1"/>
      <w:numFmt w:val="bullet"/>
      <w:lvlText w:val=""/>
      <w:lvlJc w:val="left"/>
      <w:pPr>
        <w:tabs>
          <w:tab w:val="num" w:pos="2142"/>
        </w:tabs>
        <w:ind w:left="2142" w:hanging="360"/>
      </w:pPr>
      <w:rPr>
        <w:rFonts w:ascii="Symbol" w:hAnsi="Symbol" w:hint="default"/>
        <w:sz w:val="20"/>
      </w:rPr>
    </w:lvl>
    <w:lvl w:ilvl="4">
      <w:start w:val="1"/>
      <w:numFmt w:val="bullet"/>
      <w:lvlText w:val=""/>
      <w:lvlJc w:val="left"/>
      <w:pPr>
        <w:tabs>
          <w:tab w:val="num" w:pos="2862"/>
        </w:tabs>
        <w:ind w:left="2862" w:hanging="360"/>
      </w:pPr>
      <w:rPr>
        <w:rFonts w:ascii="Symbol" w:hAnsi="Symbol" w:hint="default"/>
        <w:sz w:val="20"/>
      </w:rPr>
    </w:lvl>
    <w:lvl w:ilvl="5">
      <w:start w:val="1"/>
      <w:numFmt w:val="bullet"/>
      <w:lvlText w:val=""/>
      <w:lvlJc w:val="left"/>
      <w:pPr>
        <w:tabs>
          <w:tab w:val="num" w:pos="3582"/>
        </w:tabs>
        <w:ind w:left="3582" w:hanging="360"/>
      </w:pPr>
      <w:rPr>
        <w:rFonts w:ascii="Symbol" w:hAnsi="Symbol" w:hint="default"/>
        <w:sz w:val="20"/>
      </w:rPr>
    </w:lvl>
    <w:lvl w:ilvl="6">
      <w:start w:val="1"/>
      <w:numFmt w:val="bullet"/>
      <w:lvlText w:val=""/>
      <w:lvlJc w:val="left"/>
      <w:pPr>
        <w:tabs>
          <w:tab w:val="num" w:pos="4302"/>
        </w:tabs>
        <w:ind w:left="4302" w:hanging="360"/>
      </w:pPr>
      <w:rPr>
        <w:rFonts w:ascii="Symbol" w:hAnsi="Symbol" w:hint="default"/>
        <w:sz w:val="20"/>
      </w:rPr>
    </w:lvl>
    <w:lvl w:ilvl="7">
      <w:start w:val="1"/>
      <w:numFmt w:val="bullet"/>
      <w:lvlText w:val=""/>
      <w:lvlJc w:val="left"/>
      <w:pPr>
        <w:tabs>
          <w:tab w:val="num" w:pos="5022"/>
        </w:tabs>
        <w:ind w:left="5022" w:hanging="360"/>
      </w:pPr>
      <w:rPr>
        <w:rFonts w:ascii="Symbol" w:hAnsi="Symbol" w:hint="default"/>
        <w:sz w:val="20"/>
      </w:rPr>
    </w:lvl>
    <w:lvl w:ilvl="8">
      <w:start w:val="1"/>
      <w:numFmt w:val="bullet"/>
      <w:lvlText w:val=""/>
      <w:lvlJc w:val="left"/>
      <w:pPr>
        <w:tabs>
          <w:tab w:val="num" w:pos="5742"/>
        </w:tabs>
        <w:ind w:left="5742" w:hanging="360"/>
      </w:pPr>
      <w:rPr>
        <w:rFonts w:ascii="Symbol" w:hAnsi="Symbol" w:hint="default"/>
        <w:sz w:val="20"/>
      </w:rPr>
    </w:lvl>
  </w:abstractNum>
  <w:abstractNum w:abstractNumId="36" w15:restartNumberingAfterBreak="0">
    <w:nsid w:val="5EB506C7"/>
    <w:multiLevelType w:val="multilevel"/>
    <w:tmpl w:val="7926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332E53"/>
    <w:multiLevelType w:val="hybridMultilevel"/>
    <w:tmpl w:val="A3A2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01277"/>
    <w:multiLevelType w:val="hybridMultilevel"/>
    <w:tmpl w:val="00B212EA"/>
    <w:lvl w:ilvl="0" w:tplc="3BF0F0DE">
      <w:start w:val="1"/>
      <w:numFmt w:val="bullet"/>
      <w:lvlText w:val=""/>
      <w:lvlJc w:val="left"/>
      <w:pPr>
        <w:tabs>
          <w:tab w:val="num" w:pos="720"/>
        </w:tabs>
        <w:ind w:left="720" w:hanging="360"/>
      </w:pPr>
      <w:rPr>
        <w:rFonts w:ascii="Symbol" w:hAnsi="Symbol" w:hint="default"/>
        <w:sz w:val="20"/>
      </w:rPr>
    </w:lvl>
    <w:lvl w:ilvl="1" w:tplc="3BEAE3E6">
      <w:start w:val="1"/>
      <w:numFmt w:val="bullet"/>
      <w:lvlText w:val="o"/>
      <w:lvlJc w:val="left"/>
      <w:pPr>
        <w:tabs>
          <w:tab w:val="num" w:pos="1440"/>
        </w:tabs>
        <w:ind w:left="1440" w:hanging="360"/>
      </w:pPr>
      <w:rPr>
        <w:rFonts w:ascii="Courier New" w:hAnsi="Courier New" w:hint="default"/>
        <w:sz w:val="20"/>
      </w:rPr>
    </w:lvl>
    <w:lvl w:ilvl="2" w:tplc="B3A8AA60">
      <w:start w:val="1"/>
      <w:numFmt w:val="bullet"/>
      <w:lvlText w:val=""/>
      <w:lvlJc w:val="left"/>
      <w:pPr>
        <w:tabs>
          <w:tab w:val="num" w:pos="2160"/>
        </w:tabs>
        <w:ind w:left="2160" w:hanging="360"/>
      </w:pPr>
      <w:rPr>
        <w:rFonts w:ascii="Wingdings" w:hAnsi="Wingdings" w:hint="default"/>
        <w:sz w:val="20"/>
      </w:rPr>
    </w:lvl>
    <w:lvl w:ilvl="3" w:tplc="8EC20BBA">
      <w:start w:val="1"/>
      <w:numFmt w:val="bullet"/>
      <w:lvlText w:val=""/>
      <w:lvlJc w:val="left"/>
      <w:pPr>
        <w:tabs>
          <w:tab w:val="num" w:pos="2880"/>
        </w:tabs>
        <w:ind w:left="2880" w:hanging="360"/>
      </w:pPr>
      <w:rPr>
        <w:rFonts w:ascii="Wingdings" w:hAnsi="Wingdings" w:hint="default"/>
        <w:sz w:val="20"/>
      </w:rPr>
    </w:lvl>
    <w:lvl w:ilvl="4" w:tplc="2DA09E4A">
      <w:start w:val="1"/>
      <w:numFmt w:val="bullet"/>
      <w:lvlText w:val=""/>
      <w:lvlJc w:val="left"/>
      <w:pPr>
        <w:tabs>
          <w:tab w:val="num" w:pos="3600"/>
        </w:tabs>
        <w:ind w:left="3600" w:hanging="360"/>
      </w:pPr>
      <w:rPr>
        <w:rFonts w:ascii="Wingdings" w:hAnsi="Wingdings" w:hint="default"/>
        <w:sz w:val="20"/>
      </w:rPr>
    </w:lvl>
    <w:lvl w:ilvl="5" w:tplc="E786B42A">
      <w:start w:val="1"/>
      <w:numFmt w:val="bullet"/>
      <w:lvlText w:val=""/>
      <w:lvlJc w:val="left"/>
      <w:pPr>
        <w:tabs>
          <w:tab w:val="num" w:pos="4320"/>
        </w:tabs>
        <w:ind w:left="4320" w:hanging="360"/>
      </w:pPr>
      <w:rPr>
        <w:rFonts w:ascii="Wingdings" w:hAnsi="Wingdings" w:hint="default"/>
        <w:sz w:val="20"/>
      </w:rPr>
    </w:lvl>
    <w:lvl w:ilvl="6" w:tplc="5E485D3C">
      <w:start w:val="1"/>
      <w:numFmt w:val="bullet"/>
      <w:lvlText w:val=""/>
      <w:lvlJc w:val="left"/>
      <w:pPr>
        <w:tabs>
          <w:tab w:val="num" w:pos="5040"/>
        </w:tabs>
        <w:ind w:left="5040" w:hanging="360"/>
      </w:pPr>
      <w:rPr>
        <w:rFonts w:ascii="Wingdings" w:hAnsi="Wingdings" w:hint="default"/>
        <w:sz w:val="20"/>
      </w:rPr>
    </w:lvl>
    <w:lvl w:ilvl="7" w:tplc="56B27820">
      <w:start w:val="1"/>
      <w:numFmt w:val="bullet"/>
      <w:lvlText w:val=""/>
      <w:lvlJc w:val="left"/>
      <w:pPr>
        <w:tabs>
          <w:tab w:val="num" w:pos="5760"/>
        </w:tabs>
        <w:ind w:left="5760" w:hanging="360"/>
      </w:pPr>
      <w:rPr>
        <w:rFonts w:ascii="Wingdings" w:hAnsi="Wingdings" w:hint="default"/>
        <w:sz w:val="20"/>
      </w:rPr>
    </w:lvl>
    <w:lvl w:ilvl="8" w:tplc="C47C814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A26F80"/>
    <w:multiLevelType w:val="hybridMultilevel"/>
    <w:tmpl w:val="7C5C684A"/>
    <w:lvl w:ilvl="0" w:tplc="BC84B306">
      <w:start w:val="1"/>
      <w:numFmt w:val="bullet"/>
      <w:lvlText w:val=""/>
      <w:lvlJc w:val="left"/>
      <w:pPr>
        <w:tabs>
          <w:tab w:val="num" w:pos="720"/>
        </w:tabs>
        <w:ind w:left="720" w:hanging="360"/>
      </w:pPr>
      <w:rPr>
        <w:rFonts w:ascii="Symbol" w:hAnsi="Symbol" w:hint="default"/>
        <w:sz w:val="20"/>
      </w:rPr>
    </w:lvl>
    <w:lvl w:ilvl="1" w:tplc="843A4180" w:tentative="1">
      <w:start w:val="1"/>
      <w:numFmt w:val="bullet"/>
      <w:lvlText w:val="o"/>
      <w:lvlJc w:val="left"/>
      <w:pPr>
        <w:tabs>
          <w:tab w:val="num" w:pos="1440"/>
        </w:tabs>
        <w:ind w:left="1440" w:hanging="360"/>
      </w:pPr>
      <w:rPr>
        <w:rFonts w:ascii="Courier New" w:hAnsi="Courier New" w:hint="default"/>
        <w:sz w:val="20"/>
      </w:rPr>
    </w:lvl>
    <w:lvl w:ilvl="2" w:tplc="4954A138" w:tentative="1">
      <w:start w:val="1"/>
      <w:numFmt w:val="bullet"/>
      <w:lvlText w:val=""/>
      <w:lvlJc w:val="left"/>
      <w:pPr>
        <w:tabs>
          <w:tab w:val="num" w:pos="2160"/>
        </w:tabs>
        <w:ind w:left="2160" w:hanging="360"/>
      </w:pPr>
      <w:rPr>
        <w:rFonts w:ascii="Wingdings" w:hAnsi="Wingdings" w:hint="default"/>
        <w:sz w:val="20"/>
      </w:rPr>
    </w:lvl>
    <w:lvl w:ilvl="3" w:tplc="4DD8E1C8" w:tentative="1">
      <w:start w:val="1"/>
      <w:numFmt w:val="bullet"/>
      <w:lvlText w:val=""/>
      <w:lvlJc w:val="left"/>
      <w:pPr>
        <w:tabs>
          <w:tab w:val="num" w:pos="2880"/>
        </w:tabs>
        <w:ind w:left="2880" w:hanging="360"/>
      </w:pPr>
      <w:rPr>
        <w:rFonts w:ascii="Wingdings" w:hAnsi="Wingdings" w:hint="default"/>
        <w:sz w:val="20"/>
      </w:rPr>
    </w:lvl>
    <w:lvl w:ilvl="4" w:tplc="67801888" w:tentative="1">
      <w:start w:val="1"/>
      <w:numFmt w:val="bullet"/>
      <w:lvlText w:val=""/>
      <w:lvlJc w:val="left"/>
      <w:pPr>
        <w:tabs>
          <w:tab w:val="num" w:pos="3600"/>
        </w:tabs>
        <w:ind w:left="3600" w:hanging="360"/>
      </w:pPr>
      <w:rPr>
        <w:rFonts w:ascii="Wingdings" w:hAnsi="Wingdings" w:hint="default"/>
        <w:sz w:val="20"/>
      </w:rPr>
    </w:lvl>
    <w:lvl w:ilvl="5" w:tplc="83E2D2F6" w:tentative="1">
      <w:start w:val="1"/>
      <w:numFmt w:val="bullet"/>
      <w:lvlText w:val=""/>
      <w:lvlJc w:val="left"/>
      <w:pPr>
        <w:tabs>
          <w:tab w:val="num" w:pos="4320"/>
        </w:tabs>
        <w:ind w:left="4320" w:hanging="360"/>
      </w:pPr>
      <w:rPr>
        <w:rFonts w:ascii="Wingdings" w:hAnsi="Wingdings" w:hint="default"/>
        <w:sz w:val="20"/>
      </w:rPr>
    </w:lvl>
    <w:lvl w:ilvl="6" w:tplc="D22203B8" w:tentative="1">
      <w:start w:val="1"/>
      <w:numFmt w:val="bullet"/>
      <w:lvlText w:val=""/>
      <w:lvlJc w:val="left"/>
      <w:pPr>
        <w:tabs>
          <w:tab w:val="num" w:pos="5040"/>
        </w:tabs>
        <w:ind w:left="5040" w:hanging="360"/>
      </w:pPr>
      <w:rPr>
        <w:rFonts w:ascii="Wingdings" w:hAnsi="Wingdings" w:hint="default"/>
        <w:sz w:val="20"/>
      </w:rPr>
    </w:lvl>
    <w:lvl w:ilvl="7" w:tplc="09206EAC" w:tentative="1">
      <w:start w:val="1"/>
      <w:numFmt w:val="bullet"/>
      <w:lvlText w:val=""/>
      <w:lvlJc w:val="left"/>
      <w:pPr>
        <w:tabs>
          <w:tab w:val="num" w:pos="5760"/>
        </w:tabs>
        <w:ind w:left="5760" w:hanging="360"/>
      </w:pPr>
      <w:rPr>
        <w:rFonts w:ascii="Wingdings" w:hAnsi="Wingdings" w:hint="default"/>
        <w:sz w:val="20"/>
      </w:rPr>
    </w:lvl>
    <w:lvl w:ilvl="8" w:tplc="5B86994C"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791E18"/>
    <w:multiLevelType w:val="multilevel"/>
    <w:tmpl w:val="8A64C27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E2D8C"/>
    <w:multiLevelType w:val="hybridMultilevel"/>
    <w:tmpl w:val="12A246A2"/>
    <w:lvl w:ilvl="0" w:tplc="49A22AB0">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03004"/>
    <w:multiLevelType w:val="hybridMultilevel"/>
    <w:tmpl w:val="863C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66BD1"/>
    <w:multiLevelType w:val="multilevel"/>
    <w:tmpl w:val="1C4E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60E08"/>
    <w:multiLevelType w:val="multilevel"/>
    <w:tmpl w:val="FD08B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8"/>
  </w:num>
  <w:num w:numId="3">
    <w:abstractNumId w:val="14"/>
  </w:num>
  <w:num w:numId="4">
    <w:abstractNumId w:val="31"/>
  </w:num>
  <w:num w:numId="5">
    <w:abstractNumId w:val="43"/>
  </w:num>
  <w:num w:numId="6">
    <w:abstractNumId w:val="32"/>
  </w:num>
  <w:num w:numId="7">
    <w:abstractNumId w:val="24"/>
  </w:num>
  <w:num w:numId="8">
    <w:abstractNumId w:val="11"/>
  </w:num>
  <w:num w:numId="9">
    <w:abstractNumId w:val="21"/>
  </w:num>
  <w:num w:numId="10">
    <w:abstractNumId w:val="26"/>
  </w:num>
  <w:num w:numId="11">
    <w:abstractNumId w:val="23"/>
  </w:num>
  <w:num w:numId="12">
    <w:abstractNumId w:val="25"/>
  </w:num>
  <w:num w:numId="13">
    <w:abstractNumId w:val="22"/>
  </w:num>
  <w:num w:numId="14">
    <w:abstractNumId w:val="12"/>
  </w:num>
  <w:num w:numId="15">
    <w:abstractNumId w:val="9"/>
  </w:num>
  <w:num w:numId="16">
    <w:abstractNumId w:val="5"/>
  </w:num>
  <w:num w:numId="17">
    <w:abstractNumId w:val="5"/>
  </w:num>
  <w:num w:numId="18">
    <w:abstractNumId w:val="13"/>
  </w:num>
  <w:num w:numId="19">
    <w:abstractNumId w:val="6"/>
  </w:num>
  <w:num w:numId="20">
    <w:abstractNumId w:val="42"/>
  </w:num>
  <w:num w:numId="21">
    <w:abstractNumId w:val="0"/>
  </w:num>
  <w:num w:numId="22">
    <w:abstractNumId w:val="1"/>
  </w:num>
  <w:num w:numId="23">
    <w:abstractNumId w:val="2"/>
  </w:num>
  <w:num w:numId="24">
    <w:abstractNumId w:val="40"/>
  </w:num>
  <w:num w:numId="25">
    <w:abstractNumId w:val="39"/>
  </w:num>
  <w:num w:numId="26">
    <w:abstractNumId w:val="3"/>
  </w:num>
  <w:num w:numId="27">
    <w:abstractNumId w:val="4"/>
  </w:num>
  <w:num w:numId="28">
    <w:abstractNumId w:val="8"/>
  </w:num>
  <w:num w:numId="29">
    <w:abstractNumId w:val="10"/>
  </w:num>
  <w:num w:numId="30">
    <w:abstractNumId w:val="36"/>
  </w:num>
  <w:num w:numId="31">
    <w:abstractNumId w:val="41"/>
  </w:num>
  <w:num w:numId="32">
    <w:abstractNumId w:val="15"/>
  </w:num>
  <w:num w:numId="33">
    <w:abstractNumId w:val="19"/>
  </w:num>
  <w:num w:numId="34">
    <w:abstractNumId w:val="30"/>
  </w:num>
  <w:num w:numId="35">
    <w:abstractNumId w:val="34"/>
  </w:num>
  <w:num w:numId="36">
    <w:abstractNumId w:val="17"/>
  </w:num>
  <w:num w:numId="37">
    <w:abstractNumId w:val="18"/>
  </w:num>
  <w:num w:numId="38">
    <w:abstractNumId w:val="44"/>
  </w:num>
  <w:num w:numId="39">
    <w:abstractNumId w:val="35"/>
  </w:num>
  <w:num w:numId="40">
    <w:abstractNumId w:val="16"/>
  </w:num>
  <w:num w:numId="41">
    <w:abstractNumId w:val="20"/>
  </w:num>
  <w:num w:numId="42">
    <w:abstractNumId w:val="37"/>
  </w:num>
  <w:num w:numId="43">
    <w:abstractNumId w:val="33"/>
  </w:num>
  <w:num w:numId="44">
    <w:abstractNumId w:val="28"/>
  </w:num>
  <w:num w:numId="45">
    <w:abstractNumId w:val="29"/>
  </w:num>
  <w:num w:numId="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92"/>
    <w:rsid w:val="00007AE1"/>
    <w:rsid w:val="00007EA1"/>
    <w:rsid w:val="00007EA3"/>
    <w:rsid w:val="00010DA1"/>
    <w:rsid w:val="000166E6"/>
    <w:rsid w:val="00017F24"/>
    <w:rsid w:val="00020C9A"/>
    <w:rsid w:val="00022C30"/>
    <w:rsid w:val="00023486"/>
    <w:rsid w:val="00024F49"/>
    <w:rsid w:val="00025A47"/>
    <w:rsid w:val="00031A0E"/>
    <w:rsid w:val="00037CC1"/>
    <w:rsid w:val="000459A6"/>
    <w:rsid w:val="0005013F"/>
    <w:rsid w:val="000554CF"/>
    <w:rsid w:val="00057526"/>
    <w:rsid w:val="00057961"/>
    <w:rsid w:val="00060939"/>
    <w:rsid w:val="000632CE"/>
    <w:rsid w:val="00064308"/>
    <w:rsid w:val="00067CFA"/>
    <w:rsid w:val="000702EB"/>
    <w:rsid w:val="0007192B"/>
    <w:rsid w:val="0007342C"/>
    <w:rsid w:val="00074DF0"/>
    <w:rsid w:val="00085CB0"/>
    <w:rsid w:val="000867B6"/>
    <w:rsid w:val="0009000F"/>
    <w:rsid w:val="00091952"/>
    <w:rsid w:val="0009444A"/>
    <w:rsid w:val="00094E92"/>
    <w:rsid w:val="00095B10"/>
    <w:rsid w:val="00096DB3"/>
    <w:rsid w:val="000A2BEE"/>
    <w:rsid w:val="000A3CD2"/>
    <w:rsid w:val="000B4ED9"/>
    <w:rsid w:val="000C0C11"/>
    <w:rsid w:val="000C10D5"/>
    <w:rsid w:val="000C3BB8"/>
    <w:rsid w:val="000C53E8"/>
    <w:rsid w:val="000C7686"/>
    <w:rsid w:val="000D47E9"/>
    <w:rsid w:val="000D620D"/>
    <w:rsid w:val="000E5949"/>
    <w:rsid w:val="000F1453"/>
    <w:rsid w:val="000F24F7"/>
    <w:rsid w:val="001027C3"/>
    <w:rsid w:val="001078BA"/>
    <w:rsid w:val="00120189"/>
    <w:rsid w:val="00122B20"/>
    <w:rsid w:val="001231CD"/>
    <w:rsid w:val="0012348F"/>
    <w:rsid w:val="0013603B"/>
    <w:rsid w:val="0014437D"/>
    <w:rsid w:val="0015318A"/>
    <w:rsid w:val="00154558"/>
    <w:rsid w:val="00162060"/>
    <w:rsid w:val="00162223"/>
    <w:rsid w:val="0016225D"/>
    <w:rsid w:val="001644E4"/>
    <w:rsid w:val="00166863"/>
    <w:rsid w:val="00170154"/>
    <w:rsid w:val="001731AA"/>
    <w:rsid w:val="00174D61"/>
    <w:rsid w:val="00175B52"/>
    <w:rsid w:val="001874FC"/>
    <w:rsid w:val="00194B7E"/>
    <w:rsid w:val="00195EDC"/>
    <w:rsid w:val="001A030F"/>
    <w:rsid w:val="001A0EEB"/>
    <w:rsid w:val="001A14CD"/>
    <w:rsid w:val="001A1A85"/>
    <w:rsid w:val="001A1CA6"/>
    <w:rsid w:val="001A3DC3"/>
    <w:rsid w:val="001B4ABB"/>
    <w:rsid w:val="001B4AED"/>
    <w:rsid w:val="001B61BC"/>
    <w:rsid w:val="001B65B2"/>
    <w:rsid w:val="001B6823"/>
    <w:rsid w:val="001B6BD6"/>
    <w:rsid w:val="001C2414"/>
    <w:rsid w:val="001C2660"/>
    <w:rsid w:val="001C2807"/>
    <w:rsid w:val="001C6D3B"/>
    <w:rsid w:val="001C7011"/>
    <w:rsid w:val="001D31AA"/>
    <w:rsid w:val="001D3560"/>
    <w:rsid w:val="001D3D13"/>
    <w:rsid w:val="001D7A5F"/>
    <w:rsid w:val="001D7F21"/>
    <w:rsid w:val="001F1AAF"/>
    <w:rsid w:val="001F2E2E"/>
    <w:rsid w:val="001F408A"/>
    <w:rsid w:val="001F73EF"/>
    <w:rsid w:val="002014B1"/>
    <w:rsid w:val="00202C60"/>
    <w:rsid w:val="00211A04"/>
    <w:rsid w:val="00214730"/>
    <w:rsid w:val="0021578B"/>
    <w:rsid w:val="00216A34"/>
    <w:rsid w:val="002202A1"/>
    <w:rsid w:val="0024054B"/>
    <w:rsid w:val="00241606"/>
    <w:rsid w:val="002418B2"/>
    <w:rsid w:val="00242A37"/>
    <w:rsid w:val="00246761"/>
    <w:rsid w:val="00250C15"/>
    <w:rsid w:val="002548D9"/>
    <w:rsid w:val="002555B6"/>
    <w:rsid w:val="00257D90"/>
    <w:rsid w:val="00261DE8"/>
    <w:rsid w:val="002638F1"/>
    <w:rsid w:val="00270F7F"/>
    <w:rsid w:val="00273251"/>
    <w:rsid w:val="0028326A"/>
    <w:rsid w:val="00285CE9"/>
    <w:rsid w:val="00291383"/>
    <w:rsid w:val="002925F3"/>
    <w:rsid w:val="00295679"/>
    <w:rsid w:val="00295B84"/>
    <w:rsid w:val="00295CB8"/>
    <w:rsid w:val="002A13BE"/>
    <w:rsid w:val="002B15A0"/>
    <w:rsid w:val="002B3CEB"/>
    <w:rsid w:val="002B3CEF"/>
    <w:rsid w:val="002B5881"/>
    <w:rsid w:val="002B7CD6"/>
    <w:rsid w:val="002C3D74"/>
    <w:rsid w:val="002D1E66"/>
    <w:rsid w:val="002D2A6B"/>
    <w:rsid w:val="002D5DED"/>
    <w:rsid w:val="002D7E5A"/>
    <w:rsid w:val="002E0497"/>
    <w:rsid w:val="002E0D4D"/>
    <w:rsid w:val="002E10AD"/>
    <w:rsid w:val="002E1B55"/>
    <w:rsid w:val="002E47D4"/>
    <w:rsid w:val="002E4EAF"/>
    <w:rsid w:val="002F2E6B"/>
    <w:rsid w:val="00307FAC"/>
    <w:rsid w:val="00311523"/>
    <w:rsid w:val="00320127"/>
    <w:rsid w:val="003232C5"/>
    <w:rsid w:val="00323A7B"/>
    <w:rsid w:val="0032427B"/>
    <w:rsid w:val="00324EA6"/>
    <w:rsid w:val="00326F7D"/>
    <w:rsid w:val="0033029D"/>
    <w:rsid w:val="00334795"/>
    <w:rsid w:val="00334F7F"/>
    <w:rsid w:val="00336CF3"/>
    <w:rsid w:val="00337C04"/>
    <w:rsid w:val="00346DBE"/>
    <w:rsid w:val="003509D0"/>
    <w:rsid w:val="00350EFC"/>
    <w:rsid w:val="00351B17"/>
    <w:rsid w:val="003546AC"/>
    <w:rsid w:val="003762D6"/>
    <w:rsid w:val="00377F50"/>
    <w:rsid w:val="00381251"/>
    <w:rsid w:val="00382CE0"/>
    <w:rsid w:val="00384B8B"/>
    <w:rsid w:val="003925CA"/>
    <w:rsid w:val="00397660"/>
    <w:rsid w:val="003A32DB"/>
    <w:rsid w:val="003A4F8A"/>
    <w:rsid w:val="003A6D2F"/>
    <w:rsid w:val="003C4412"/>
    <w:rsid w:val="003C5A3A"/>
    <w:rsid w:val="003C76A9"/>
    <w:rsid w:val="003C77C0"/>
    <w:rsid w:val="003C7AAC"/>
    <w:rsid w:val="003D0D2E"/>
    <w:rsid w:val="003D11E9"/>
    <w:rsid w:val="003D255E"/>
    <w:rsid w:val="003D4DB0"/>
    <w:rsid w:val="003D6F28"/>
    <w:rsid w:val="003D7A8A"/>
    <w:rsid w:val="003E12E4"/>
    <w:rsid w:val="003E15DD"/>
    <w:rsid w:val="003E7359"/>
    <w:rsid w:val="003E7CCA"/>
    <w:rsid w:val="003F2BA9"/>
    <w:rsid w:val="003F5FCD"/>
    <w:rsid w:val="00401E0A"/>
    <w:rsid w:val="004037D2"/>
    <w:rsid w:val="004070CD"/>
    <w:rsid w:val="00422C42"/>
    <w:rsid w:val="004243F1"/>
    <w:rsid w:val="00425ED1"/>
    <w:rsid w:val="004261C3"/>
    <w:rsid w:val="00431D69"/>
    <w:rsid w:val="0043310F"/>
    <w:rsid w:val="00434DC2"/>
    <w:rsid w:val="00444D6A"/>
    <w:rsid w:val="00455320"/>
    <w:rsid w:val="004600FC"/>
    <w:rsid w:val="004668A8"/>
    <w:rsid w:val="00476751"/>
    <w:rsid w:val="00476A38"/>
    <w:rsid w:val="0048099E"/>
    <w:rsid w:val="004834A7"/>
    <w:rsid w:val="004845D4"/>
    <w:rsid w:val="0048489A"/>
    <w:rsid w:val="004862AD"/>
    <w:rsid w:val="00490B2C"/>
    <w:rsid w:val="00493CC9"/>
    <w:rsid w:val="004948D0"/>
    <w:rsid w:val="00494C81"/>
    <w:rsid w:val="00497BC2"/>
    <w:rsid w:val="00497F95"/>
    <w:rsid w:val="004A44EC"/>
    <w:rsid w:val="004A51B3"/>
    <w:rsid w:val="004B2AA0"/>
    <w:rsid w:val="004B31B3"/>
    <w:rsid w:val="004C5654"/>
    <w:rsid w:val="004C708A"/>
    <w:rsid w:val="004E1C1F"/>
    <w:rsid w:val="004E3064"/>
    <w:rsid w:val="004E30BF"/>
    <w:rsid w:val="004E53C7"/>
    <w:rsid w:val="004E53D5"/>
    <w:rsid w:val="004E58B4"/>
    <w:rsid w:val="004E7974"/>
    <w:rsid w:val="004F556C"/>
    <w:rsid w:val="004F578A"/>
    <w:rsid w:val="004F7482"/>
    <w:rsid w:val="00501335"/>
    <w:rsid w:val="00501D9C"/>
    <w:rsid w:val="005026BA"/>
    <w:rsid w:val="00505C17"/>
    <w:rsid w:val="00514A47"/>
    <w:rsid w:val="00516623"/>
    <w:rsid w:val="00522359"/>
    <w:rsid w:val="005223CB"/>
    <w:rsid w:val="005344A1"/>
    <w:rsid w:val="00534B4A"/>
    <w:rsid w:val="005359F8"/>
    <w:rsid w:val="005439B6"/>
    <w:rsid w:val="00547480"/>
    <w:rsid w:val="005537FD"/>
    <w:rsid w:val="00553C37"/>
    <w:rsid w:val="00554C98"/>
    <w:rsid w:val="00556051"/>
    <w:rsid w:val="00562C10"/>
    <w:rsid w:val="00563A52"/>
    <w:rsid w:val="00563B78"/>
    <w:rsid w:val="00566616"/>
    <w:rsid w:val="005672C4"/>
    <w:rsid w:val="00573358"/>
    <w:rsid w:val="0057416B"/>
    <w:rsid w:val="005749D1"/>
    <w:rsid w:val="005772B0"/>
    <w:rsid w:val="005774E7"/>
    <w:rsid w:val="00580C4F"/>
    <w:rsid w:val="00582450"/>
    <w:rsid w:val="00583DB3"/>
    <w:rsid w:val="0058400C"/>
    <w:rsid w:val="00585136"/>
    <w:rsid w:val="00585D81"/>
    <w:rsid w:val="00585FD5"/>
    <w:rsid w:val="00586FB2"/>
    <w:rsid w:val="005951B0"/>
    <w:rsid w:val="005B65DA"/>
    <w:rsid w:val="005D335B"/>
    <w:rsid w:val="005D5844"/>
    <w:rsid w:val="006019BC"/>
    <w:rsid w:val="00602074"/>
    <w:rsid w:val="00604E4A"/>
    <w:rsid w:val="00604FE2"/>
    <w:rsid w:val="00610228"/>
    <w:rsid w:val="00610B24"/>
    <w:rsid w:val="0061195A"/>
    <w:rsid w:val="00616C66"/>
    <w:rsid w:val="0062120D"/>
    <w:rsid w:val="006229C3"/>
    <w:rsid w:val="00626D31"/>
    <w:rsid w:val="00627F76"/>
    <w:rsid w:val="006316FC"/>
    <w:rsid w:val="00632128"/>
    <w:rsid w:val="00643FFE"/>
    <w:rsid w:val="00644F3A"/>
    <w:rsid w:val="006501DA"/>
    <w:rsid w:val="0065043F"/>
    <w:rsid w:val="006504D2"/>
    <w:rsid w:val="00652287"/>
    <w:rsid w:val="00652DAC"/>
    <w:rsid w:val="00653D8C"/>
    <w:rsid w:val="00656202"/>
    <w:rsid w:val="0065704D"/>
    <w:rsid w:val="006659DC"/>
    <w:rsid w:val="00667292"/>
    <w:rsid w:val="0066754F"/>
    <w:rsid w:val="0067284A"/>
    <w:rsid w:val="00672F41"/>
    <w:rsid w:val="00673DCC"/>
    <w:rsid w:val="00677712"/>
    <w:rsid w:val="0068146F"/>
    <w:rsid w:val="0068273D"/>
    <w:rsid w:val="00686BEC"/>
    <w:rsid w:val="006919F3"/>
    <w:rsid w:val="00694103"/>
    <w:rsid w:val="00694815"/>
    <w:rsid w:val="00696368"/>
    <w:rsid w:val="00696392"/>
    <w:rsid w:val="006A1BC5"/>
    <w:rsid w:val="006A3392"/>
    <w:rsid w:val="006A4D02"/>
    <w:rsid w:val="006A6EA6"/>
    <w:rsid w:val="006B36E0"/>
    <w:rsid w:val="006B57D6"/>
    <w:rsid w:val="006B6FE8"/>
    <w:rsid w:val="006C37DD"/>
    <w:rsid w:val="006C6E2A"/>
    <w:rsid w:val="006D2DD0"/>
    <w:rsid w:val="006D4580"/>
    <w:rsid w:val="006E0EB6"/>
    <w:rsid w:val="006E11F4"/>
    <w:rsid w:val="006E16AF"/>
    <w:rsid w:val="006E3A42"/>
    <w:rsid w:val="006E3CAE"/>
    <w:rsid w:val="006F32FE"/>
    <w:rsid w:val="006F7583"/>
    <w:rsid w:val="006F798E"/>
    <w:rsid w:val="006F7DA7"/>
    <w:rsid w:val="00705E4B"/>
    <w:rsid w:val="00724174"/>
    <w:rsid w:val="00724AE1"/>
    <w:rsid w:val="00724E07"/>
    <w:rsid w:val="00725EC9"/>
    <w:rsid w:val="00732EBD"/>
    <w:rsid w:val="0073722F"/>
    <w:rsid w:val="007379C6"/>
    <w:rsid w:val="007411C7"/>
    <w:rsid w:val="007423C1"/>
    <w:rsid w:val="00742988"/>
    <w:rsid w:val="007431A1"/>
    <w:rsid w:val="007462B2"/>
    <w:rsid w:val="007478EE"/>
    <w:rsid w:val="007501C0"/>
    <w:rsid w:val="007544AF"/>
    <w:rsid w:val="00762FC2"/>
    <w:rsid w:val="007659F5"/>
    <w:rsid w:val="00770E2D"/>
    <w:rsid w:val="00773E66"/>
    <w:rsid w:val="00774619"/>
    <w:rsid w:val="00780825"/>
    <w:rsid w:val="00781F33"/>
    <w:rsid w:val="00782AA3"/>
    <w:rsid w:val="00784CB7"/>
    <w:rsid w:val="007855DE"/>
    <w:rsid w:val="00786044"/>
    <w:rsid w:val="00791B9B"/>
    <w:rsid w:val="007928DC"/>
    <w:rsid w:val="00796B1F"/>
    <w:rsid w:val="007A2223"/>
    <w:rsid w:val="007B2E07"/>
    <w:rsid w:val="007B4F3C"/>
    <w:rsid w:val="007B529A"/>
    <w:rsid w:val="007B5314"/>
    <w:rsid w:val="007B5D94"/>
    <w:rsid w:val="007C160C"/>
    <w:rsid w:val="007C1685"/>
    <w:rsid w:val="007C57D5"/>
    <w:rsid w:val="007C58A6"/>
    <w:rsid w:val="007C6253"/>
    <w:rsid w:val="007C632E"/>
    <w:rsid w:val="007D2ACC"/>
    <w:rsid w:val="007D5904"/>
    <w:rsid w:val="007E793A"/>
    <w:rsid w:val="007F014E"/>
    <w:rsid w:val="007F5CCF"/>
    <w:rsid w:val="00801134"/>
    <w:rsid w:val="00805AEA"/>
    <w:rsid w:val="00806AAA"/>
    <w:rsid w:val="00814E67"/>
    <w:rsid w:val="00820E99"/>
    <w:rsid w:val="00826DC4"/>
    <w:rsid w:val="0083290C"/>
    <w:rsid w:val="00845527"/>
    <w:rsid w:val="00845C59"/>
    <w:rsid w:val="00852B00"/>
    <w:rsid w:val="00867818"/>
    <w:rsid w:val="00871574"/>
    <w:rsid w:val="008764E4"/>
    <w:rsid w:val="00880D1F"/>
    <w:rsid w:val="00881CA8"/>
    <w:rsid w:val="008824CB"/>
    <w:rsid w:val="008902BC"/>
    <w:rsid w:val="00892B85"/>
    <w:rsid w:val="00892DF6"/>
    <w:rsid w:val="008A1172"/>
    <w:rsid w:val="008A6C25"/>
    <w:rsid w:val="008A7496"/>
    <w:rsid w:val="008A7577"/>
    <w:rsid w:val="008A7D29"/>
    <w:rsid w:val="008B36A4"/>
    <w:rsid w:val="008B372E"/>
    <w:rsid w:val="008B3733"/>
    <w:rsid w:val="008B3F9A"/>
    <w:rsid w:val="008B52AF"/>
    <w:rsid w:val="008C1219"/>
    <w:rsid w:val="008C5564"/>
    <w:rsid w:val="008D1CAC"/>
    <w:rsid w:val="008E7D6C"/>
    <w:rsid w:val="008F1CF9"/>
    <w:rsid w:val="008F537A"/>
    <w:rsid w:val="00901C3F"/>
    <w:rsid w:val="00903ECC"/>
    <w:rsid w:val="00905D49"/>
    <w:rsid w:val="009118B9"/>
    <w:rsid w:val="009125EE"/>
    <w:rsid w:val="009201E5"/>
    <w:rsid w:val="00921FDF"/>
    <w:rsid w:val="009230AE"/>
    <w:rsid w:val="00925A06"/>
    <w:rsid w:val="00927AF9"/>
    <w:rsid w:val="00932D05"/>
    <w:rsid w:val="00933507"/>
    <w:rsid w:val="009359B6"/>
    <w:rsid w:val="009369B1"/>
    <w:rsid w:val="009408D2"/>
    <w:rsid w:val="00943B44"/>
    <w:rsid w:val="00944570"/>
    <w:rsid w:val="009502AE"/>
    <w:rsid w:val="00955165"/>
    <w:rsid w:val="009563E8"/>
    <w:rsid w:val="0096257E"/>
    <w:rsid w:val="009625C7"/>
    <w:rsid w:val="00967160"/>
    <w:rsid w:val="00975420"/>
    <w:rsid w:val="0097688B"/>
    <w:rsid w:val="00980DCD"/>
    <w:rsid w:val="0098230A"/>
    <w:rsid w:val="00993C4A"/>
    <w:rsid w:val="00993D99"/>
    <w:rsid w:val="00995209"/>
    <w:rsid w:val="00997068"/>
    <w:rsid w:val="009A1E05"/>
    <w:rsid w:val="009A7B4C"/>
    <w:rsid w:val="009B1478"/>
    <w:rsid w:val="009B2BFB"/>
    <w:rsid w:val="009B55A9"/>
    <w:rsid w:val="009B5FF5"/>
    <w:rsid w:val="009C1B46"/>
    <w:rsid w:val="009C1DD1"/>
    <w:rsid w:val="009C2BC6"/>
    <w:rsid w:val="009C2FB5"/>
    <w:rsid w:val="009C5F6B"/>
    <w:rsid w:val="009D0D08"/>
    <w:rsid w:val="009E1885"/>
    <w:rsid w:val="009E2283"/>
    <w:rsid w:val="009E3D22"/>
    <w:rsid w:val="009E4521"/>
    <w:rsid w:val="009E564F"/>
    <w:rsid w:val="009E5777"/>
    <w:rsid w:val="009F266F"/>
    <w:rsid w:val="009F2ABF"/>
    <w:rsid w:val="009F380D"/>
    <w:rsid w:val="00A03AD6"/>
    <w:rsid w:val="00A05020"/>
    <w:rsid w:val="00A055BB"/>
    <w:rsid w:val="00A06213"/>
    <w:rsid w:val="00A07CD8"/>
    <w:rsid w:val="00A12916"/>
    <w:rsid w:val="00A1406C"/>
    <w:rsid w:val="00A1667E"/>
    <w:rsid w:val="00A2016F"/>
    <w:rsid w:val="00A23A29"/>
    <w:rsid w:val="00A244A0"/>
    <w:rsid w:val="00A37FC5"/>
    <w:rsid w:val="00A43478"/>
    <w:rsid w:val="00A4433F"/>
    <w:rsid w:val="00A5302B"/>
    <w:rsid w:val="00A625DD"/>
    <w:rsid w:val="00A62B62"/>
    <w:rsid w:val="00A75D98"/>
    <w:rsid w:val="00A7725F"/>
    <w:rsid w:val="00A80D7B"/>
    <w:rsid w:val="00A810D9"/>
    <w:rsid w:val="00A81A37"/>
    <w:rsid w:val="00A83714"/>
    <w:rsid w:val="00A85685"/>
    <w:rsid w:val="00A85D11"/>
    <w:rsid w:val="00A85E8F"/>
    <w:rsid w:val="00A860B3"/>
    <w:rsid w:val="00A935C5"/>
    <w:rsid w:val="00A96611"/>
    <w:rsid w:val="00A977AF"/>
    <w:rsid w:val="00AA19CB"/>
    <w:rsid w:val="00AA19FD"/>
    <w:rsid w:val="00AA41BF"/>
    <w:rsid w:val="00AA4FA7"/>
    <w:rsid w:val="00AC4B79"/>
    <w:rsid w:val="00AD0B6C"/>
    <w:rsid w:val="00AD240F"/>
    <w:rsid w:val="00AD56F3"/>
    <w:rsid w:val="00AD5CD1"/>
    <w:rsid w:val="00AD76FB"/>
    <w:rsid w:val="00AF195E"/>
    <w:rsid w:val="00AF3FCB"/>
    <w:rsid w:val="00AF44C6"/>
    <w:rsid w:val="00AF49A2"/>
    <w:rsid w:val="00AF53CA"/>
    <w:rsid w:val="00B00C40"/>
    <w:rsid w:val="00B03D0F"/>
    <w:rsid w:val="00B10ABD"/>
    <w:rsid w:val="00B13408"/>
    <w:rsid w:val="00B15B1D"/>
    <w:rsid w:val="00B15BEC"/>
    <w:rsid w:val="00B1605D"/>
    <w:rsid w:val="00B16876"/>
    <w:rsid w:val="00B20A06"/>
    <w:rsid w:val="00B210BB"/>
    <w:rsid w:val="00B25EEF"/>
    <w:rsid w:val="00B327D7"/>
    <w:rsid w:val="00B34671"/>
    <w:rsid w:val="00B359B2"/>
    <w:rsid w:val="00B375B7"/>
    <w:rsid w:val="00B4229D"/>
    <w:rsid w:val="00B4348F"/>
    <w:rsid w:val="00B524BB"/>
    <w:rsid w:val="00B52CFA"/>
    <w:rsid w:val="00B637A4"/>
    <w:rsid w:val="00B63D6B"/>
    <w:rsid w:val="00B67D22"/>
    <w:rsid w:val="00B74A63"/>
    <w:rsid w:val="00B75654"/>
    <w:rsid w:val="00B75AF4"/>
    <w:rsid w:val="00B75FA2"/>
    <w:rsid w:val="00B7644E"/>
    <w:rsid w:val="00B814EC"/>
    <w:rsid w:val="00B81DE1"/>
    <w:rsid w:val="00B9036C"/>
    <w:rsid w:val="00BA1987"/>
    <w:rsid w:val="00BA1BE8"/>
    <w:rsid w:val="00BA21B4"/>
    <w:rsid w:val="00BA4E2E"/>
    <w:rsid w:val="00BB30C4"/>
    <w:rsid w:val="00BB3126"/>
    <w:rsid w:val="00BC1501"/>
    <w:rsid w:val="00BC5F89"/>
    <w:rsid w:val="00BD6460"/>
    <w:rsid w:val="00BD79BA"/>
    <w:rsid w:val="00BE1845"/>
    <w:rsid w:val="00BE3462"/>
    <w:rsid w:val="00BF4F8C"/>
    <w:rsid w:val="00C0045B"/>
    <w:rsid w:val="00C15DD7"/>
    <w:rsid w:val="00C16FD8"/>
    <w:rsid w:val="00C21C3B"/>
    <w:rsid w:val="00C30DCA"/>
    <w:rsid w:val="00C32192"/>
    <w:rsid w:val="00C35B05"/>
    <w:rsid w:val="00C40DB9"/>
    <w:rsid w:val="00C43080"/>
    <w:rsid w:val="00C4385B"/>
    <w:rsid w:val="00C44979"/>
    <w:rsid w:val="00C45602"/>
    <w:rsid w:val="00C72760"/>
    <w:rsid w:val="00C7333E"/>
    <w:rsid w:val="00C73E1F"/>
    <w:rsid w:val="00C76A75"/>
    <w:rsid w:val="00C9412D"/>
    <w:rsid w:val="00C95F23"/>
    <w:rsid w:val="00C97DD9"/>
    <w:rsid w:val="00CA119C"/>
    <w:rsid w:val="00CA37C7"/>
    <w:rsid w:val="00CA3F40"/>
    <w:rsid w:val="00CA4EE5"/>
    <w:rsid w:val="00CB42A9"/>
    <w:rsid w:val="00CB68EB"/>
    <w:rsid w:val="00CB758B"/>
    <w:rsid w:val="00CC5497"/>
    <w:rsid w:val="00CC5FD5"/>
    <w:rsid w:val="00CC6F6C"/>
    <w:rsid w:val="00CD10E5"/>
    <w:rsid w:val="00CD6444"/>
    <w:rsid w:val="00CE14E4"/>
    <w:rsid w:val="00CE186D"/>
    <w:rsid w:val="00CE1BCE"/>
    <w:rsid w:val="00CE4FFD"/>
    <w:rsid w:val="00CE617F"/>
    <w:rsid w:val="00CE76DB"/>
    <w:rsid w:val="00CF0B65"/>
    <w:rsid w:val="00D11FBD"/>
    <w:rsid w:val="00D122D1"/>
    <w:rsid w:val="00D157D2"/>
    <w:rsid w:val="00D16E33"/>
    <w:rsid w:val="00D17EEB"/>
    <w:rsid w:val="00D21829"/>
    <w:rsid w:val="00D3185F"/>
    <w:rsid w:val="00D35298"/>
    <w:rsid w:val="00D41EBD"/>
    <w:rsid w:val="00D46CBC"/>
    <w:rsid w:val="00D545E9"/>
    <w:rsid w:val="00D677D7"/>
    <w:rsid w:val="00D72BD4"/>
    <w:rsid w:val="00D74FA6"/>
    <w:rsid w:val="00D84F5B"/>
    <w:rsid w:val="00D8518A"/>
    <w:rsid w:val="00D86684"/>
    <w:rsid w:val="00D974D6"/>
    <w:rsid w:val="00DA1DD0"/>
    <w:rsid w:val="00DA1EB0"/>
    <w:rsid w:val="00DA2C39"/>
    <w:rsid w:val="00DA54F1"/>
    <w:rsid w:val="00DA5E55"/>
    <w:rsid w:val="00DB48AC"/>
    <w:rsid w:val="00DB5C09"/>
    <w:rsid w:val="00DB65F8"/>
    <w:rsid w:val="00DC3A78"/>
    <w:rsid w:val="00DC63C1"/>
    <w:rsid w:val="00DC7D0C"/>
    <w:rsid w:val="00DD4CFE"/>
    <w:rsid w:val="00DD5942"/>
    <w:rsid w:val="00DD6818"/>
    <w:rsid w:val="00DE0295"/>
    <w:rsid w:val="00DE1FA1"/>
    <w:rsid w:val="00DE2153"/>
    <w:rsid w:val="00DE46F1"/>
    <w:rsid w:val="00DE6AF3"/>
    <w:rsid w:val="00DF3215"/>
    <w:rsid w:val="00DF4CF2"/>
    <w:rsid w:val="00E0006F"/>
    <w:rsid w:val="00E04675"/>
    <w:rsid w:val="00E06FAB"/>
    <w:rsid w:val="00E0779E"/>
    <w:rsid w:val="00E145F5"/>
    <w:rsid w:val="00E14CF5"/>
    <w:rsid w:val="00E14DBF"/>
    <w:rsid w:val="00E20B7D"/>
    <w:rsid w:val="00E227A9"/>
    <w:rsid w:val="00E25681"/>
    <w:rsid w:val="00E262CF"/>
    <w:rsid w:val="00E276A0"/>
    <w:rsid w:val="00E27F90"/>
    <w:rsid w:val="00E40114"/>
    <w:rsid w:val="00E4032F"/>
    <w:rsid w:val="00E444F6"/>
    <w:rsid w:val="00E46A45"/>
    <w:rsid w:val="00E47DF1"/>
    <w:rsid w:val="00E51E40"/>
    <w:rsid w:val="00E52DFB"/>
    <w:rsid w:val="00E5546E"/>
    <w:rsid w:val="00E56800"/>
    <w:rsid w:val="00E62049"/>
    <w:rsid w:val="00E66657"/>
    <w:rsid w:val="00E6767D"/>
    <w:rsid w:val="00E67FBB"/>
    <w:rsid w:val="00E70D0D"/>
    <w:rsid w:val="00E75062"/>
    <w:rsid w:val="00E81588"/>
    <w:rsid w:val="00E8517C"/>
    <w:rsid w:val="00E9189D"/>
    <w:rsid w:val="00E928FE"/>
    <w:rsid w:val="00E94D4C"/>
    <w:rsid w:val="00EA68FC"/>
    <w:rsid w:val="00EB0899"/>
    <w:rsid w:val="00EB2B52"/>
    <w:rsid w:val="00EB4DCF"/>
    <w:rsid w:val="00EC3457"/>
    <w:rsid w:val="00ED0C53"/>
    <w:rsid w:val="00ED3FDC"/>
    <w:rsid w:val="00ED685E"/>
    <w:rsid w:val="00EE3FFD"/>
    <w:rsid w:val="00F032FC"/>
    <w:rsid w:val="00F03786"/>
    <w:rsid w:val="00F04F8D"/>
    <w:rsid w:val="00F05DB2"/>
    <w:rsid w:val="00F2181C"/>
    <w:rsid w:val="00F26D59"/>
    <w:rsid w:val="00F31BDE"/>
    <w:rsid w:val="00F372B6"/>
    <w:rsid w:val="00F408AA"/>
    <w:rsid w:val="00F4279A"/>
    <w:rsid w:val="00F431CF"/>
    <w:rsid w:val="00F703FB"/>
    <w:rsid w:val="00F70724"/>
    <w:rsid w:val="00F7510D"/>
    <w:rsid w:val="00F92823"/>
    <w:rsid w:val="00F9360F"/>
    <w:rsid w:val="00F93C76"/>
    <w:rsid w:val="00F961F3"/>
    <w:rsid w:val="00F97D24"/>
    <w:rsid w:val="00FA001F"/>
    <w:rsid w:val="00FA1B37"/>
    <w:rsid w:val="00FA4623"/>
    <w:rsid w:val="00FA50E0"/>
    <w:rsid w:val="00FA576A"/>
    <w:rsid w:val="00FB10AA"/>
    <w:rsid w:val="00FB12E4"/>
    <w:rsid w:val="00FB42C1"/>
    <w:rsid w:val="00FC077F"/>
    <w:rsid w:val="00FC084B"/>
    <w:rsid w:val="00FC1977"/>
    <w:rsid w:val="00FC1EAC"/>
    <w:rsid w:val="00FC5354"/>
    <w:rsid w:val="00FC63D2"/>
    <w:rsid w:val="00FC7B0D"/>
    <w:rsid w:val="00FD48E5"/>
    <w:rsid w:val="00FD4B86"/>
    <w:rsid w:val="00FD5C00"/>
    <w:rsid w:val="00FE028C"/>
    <w:rsid w:val="00FE6851"/>
    <w:rsid w:val="00FE6A22"/>
    <w:rsid w:val="00FE73DD"/>
    <w:rsid w:val="00FF2BCE"/>
    <w:rsid w:val="00FF3B49"/>
    <w:rsid w:val="5003B897"/>
    <w:rsid w:val="500E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1B788"/>
  <w15:docId w15:val="{0207EBE1-5FE8-48CD-9319-35D94A91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2">
    <w:name w:val="heading 2"/>
    <w:basedOn w:val="Normal"/>
    <w:next w:val="Normal"/>
    <w:link w:val="Heading2Char"/>
    <w:semiHidden/>
    <w:unhideWhenUsed/>
    <w:qFormat/>
    <w:locked/>
    <w:rsid w:val="00673D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0B0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A0B07"/>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link w:val="BalloonText"/>
    <w:uiPriority w:val="99"/>
    <w:semiHidden/>
    <w:rsid w:val="00EA0B07"/>
    <w:rPr>
      <w:sz w:val="0"/>
      <w:szCs w:val="0"/>
      <w:lang w:eastAsia="en-US"/>
    </w:rPr>
  </w:style>
  <w:style w:type="character" w:styleId="Hyperlink">
    <w:name w:val="Hyperlink"/>
    <w:uiPriority w:val="99"/>
    <w:rsid w:val="000A3CD2"/>
    <w:rPr>
      <w:rFonts w:cs="Times New Roman"/>
      <w:color w:val="0000FF"/>
      <w:u w:val="single"/>
    </w:rPr>
  </w:style>
  <w:style w:type="character" w:styleId="FollowedHyperlink">
    <w:name w:val="FollowedHyperlink"/>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link w:val="Footer"/>
    <w:uiPriority w:val="99"/>
    <w:locked/>
    <w:rsid w:val="00060939"/>
    <w:rPr>
      <w:sz w:val="24"/>
      <w:lang w:eastAsia="en-US"/>
    </w:rPr>
  </w:style>
  <w:style w:type="character" w:styleId="Emphasis">
    <w:name w:val="Emphasis"/>
    <w:uiPriority w:val="99"/>
    <w:qFormat/>
    <w:rsid w:val="00B16876"/>
    <w:rPr>
      <w:rFonts w:cs="Times New Roman"/>
      <w:i/>
    </w:rPr>
  </w:style>
  <w:style w:type="paragraph" w:styleId="ListParagraph">
    <w:name w:val="List Paragraph"/>
    <w:basedOn w:val="Normal"/>
    <w:uiPriority w:val="34"/>
    <w:qFormat/>
    <w:rsid w:val="00FC084B"/>
    <w:pPr>
      <w:spacing w:after="200" w:line="276" w:lineRule="auto"/>
      <w:ind w:left="720"/>
      <w:contextualSpacing/>
    </w:pPr>
    <w:rPr>
      <w:rFonts w:ascii="Calibri" w:hAnsi="Calibri"/>
      <w:sz w:val="22"/>
      <w:szCs w:val="22"/>
    </w:rPr>
  </w:style>
  <w:style w:type="character" w:styleId="Strong">
    <w:name w:val="Strong"/>
    <w:uiPriority w:val="22"/>
    <w:qFormat/>
    <w:locked/>
    <w:rsid w:val="00FC084B"/>
    <w:rPr>
      <w:rFonts w:cs="Times New Roman"/>
      <w:b/>
      <w:bCs/>
    </w:rPr>
  </w:style>
  <w:style w:type="table" w:styleId="TableGrid">
    <w:name w:val="Table Grid"/>
    <w:basedOn w:val="TableNormal"/>
    <w:rsid w:val="006777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834A7"/>
    <w:rPr>
      <w:rFonts w:ascii="Calibri" w:eastAsia="Calibri" w:hAnsi="Calibri" w:cs="Calibri"/>
      <w:sz w:val="22"/>
      <w:szCs w:val="22"/>
    </w:rPr>
  </w:style>
  <w:style w:type="character" w:customStyle="1" w:styleId="title7">
    <w:name w:val="title7"/>
    <w:rsid w:val="002555B6"/>
    <w:rPr>
      <w:b w:val="0"/>
      <w:bCs w:val="0"/>
      <w:i w:val="0"/>
      <w:iCs w:val="0"/>
      <w:strike w:val="0"/>
      <w:dstrike w:val="0"/>
      <w:color w:val="D92E10"/>
      <w:sz w:val="26"/>
      <w:szCs w:val="26"/>
      <w:u w:val="none"/>
      <w:effect w:val="none"/>
    </w:rPr>
  </w:style>
  <w:style w:type="paragraph" w:customStyle="1" w:styleId="default">
    <w:name w:val="default"/>
    <w:basedOn w:val="Normal"/>
    <w:rsid w:val="002555B6"/>
    <w:rPr>
      <w:lang w:eastAsia="en-GB"/>
    </w:rPr>
  </w:style>
  <w:style w:type="table" w:customStyle="1" w:styleId="TableGrid1">
    <w:name w:val="Table Grid1"/>
    <w:basedOn w:val="TableNormal"/>
    <w:next w:val="TableGrid"/>
    <w:uiPriority w:val="59"/>
    <w:rsid w:val="006827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975420"/>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007EA3"/>
    <w:rPr>
      <w:color w:val="605E5C"/>
      <w:shd w:val="clear" w:color="auto" w:fill="E1DFDD"/>
    </w:rPr>
  </w:style>
  <w:style w:type="character" w:styleId="UnresolvedMention">
    <w:name w:val="Unresolved Mention"/>
    <w:basedOn w:val="DefaultParagraphFont"/>
    <w:uiPriority w:val="99"/>
    <w:semiHidden/>
    <w:unhideWhenUsed/>
    <w:rsid w:val="00490B2C"/>
    <w:rPr>
      <w:color w:val="605E5C"/>
      <w:shd w:val="clear" w:color="auto" w:fill="E1DFDD"/>
    </w:rPr>
  </w:style>
  <w:style w:type="character" w:customStyle="1" w:styleId="Heading2Char">
    <w:name w:val="Heading 2 Char"/>
    <w:basedOn w:val="DefaultParagraphFont"/>
    <w:link w:val="Heading2"/>
    <w:semiHidden/>
    <w:rsid w:val="00673DCC"/>
    <w:rPr>
      <w:rFonts w:asciiTheme="majorHAnsi" w:eastAsiaTheme="majorEastAsia" w:hAnsiTheme="majorHAnsi" w:cstheme="majorBidi"/>
      <w:color w:val="365F91" w:themeColor="accent1" w:themeShade="BF"/>
      <w:sz w:val="26"/>
      <w:szCs w:val="26"/>
      <w:lang w:eastAsia="en-US"/>
    </w:rPr>
  </w:style>
  <w:style w:type="paragraph" w:customStyle="1" w:styleId="xmsonormal">
    <w:name w:val="x_msonormal"/>
    <w:basedOn w:val="Normal"/>
    <w:rsid w:val="006A1BC5"/>
    <w:rPr>
      <w:rFonts w:ascii="Calibri" w:eastAsiaTheme="minorHAnsi" w:hAnsi="Calibri" w:cs="Calibri"/>
      <w:sz w:val="22"/>
      <w:szCs w:val="22"/>
      <w:lang w:eastAsia="en-GB"/>
    </w:rPr>
  </w:style>
  <w:style w:type="paragraph" w:customStyle="1" w:styleId="paragraph">
    <w:name w:val="paragraph"/>
    <w:basedOn w:val="Normal"/>
    <w:rsid w:val="00A977AF"/>
    <w:pPr>
      <w:spacing w:before="100" w:beforeAutospacing="1" w:after="100" w:afterAutospacing="1"/>
    </w:pPr>
    <w:rPr>
      <w:lang w:eastAsia="en-GB"/>
    </w:rPr>
  </w:style>
  <w:style w:type="character" w:customStyle="1" w:styleId="normaltextrun">
    <w:name w:val="normaltextrun"/>
    <w:basedOn w:val="DefaultParagraphFont"/>
    <w:rsid w:val="00A977AF"/>
  </w:style>
  <w:style w:type="character" w:customStyle="1" w:styleId="eop">
    <w:name w:val="eop"/>
    <w:basedOn w:val="DefaultParagraphFont"/>
    <w:rsid w:val="00A977AF"/>
  </w:style>
  <w:style w:type="table" w:customStyle="1" w:styleId="TableGrid2">
    <w:name w:val="Table Grid2"/>
    <w:basedOn w:val="TableNormal"/>
    <w:next w:val="TableGrid"/>
    <w:uiPriority w:val="59"/>
    <w:rsid w:val="00AD5C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2E04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0497"/>
    <w:rPr>
      <w:rFonts w:asciiTheme="minorHAnsi" w:eastAsiaTheme="minorEastAsia" w:hAnsiTheme="minorHAnsi" w:cstheme="minorBidi"/>
      <w:color w:val="5A5A5A" w:themeColor="text1" w:themeTint="A5"/>
      <w:spacing w:val="15"/>
      <w:sz w:val="22"/>
      <w:szCs w:val="22"/>
      <w:lang w:eastAsia="en-US"/>
    </w:rPr>
  </w:style>
  <w:style w:type="paragraph" w:styleId="CommentText">
    <w:name w:val="annotation text"/>
    <w:basedOn w:val="Normal"/>
    <w:link w:val="CommentTextChar"/>
    <w:uiPriority w:val="99"/>
    <w:semiHidden/>
    <w:unhideWhenUsed/>
    <w:rsid w:val="00CA3F40"/>
    <w:rPr>
      <w:sz w:val="20"/>
      <w:szCs w:val="20"/>
    </w:rPr>
  </w:style>
  <w:style w:type="character" w:customStyle="1" w:styleId="CommentTextChar">
    <w:name w:val="Comment Text Char"/>
    <w:basedOn w:val="DefaultParagraphFont"/>
    <w:link w:val="CommentText"/>
    <w:uiPriority w:val="99"/>
    <w:semiHidden/>
    <w:rsid w:val="00CA3F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272">
      <w:bodyDiv w:val="1"/>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794375476">
              <w:marLeft w:val="0"/>
              <w:marRight w:val="0"/>
              <w:marTop w:val="0"/>
              <w:marBottom w:val="0"/>
              <w:divBdr>
                <w:top w:val="none" w:sz="0" w:space="0" w:color="auto"/>
                <w:left w:val="none" w:sz="0" w:space="0" w:color="auto"/>
                <w:bottom w:val="none" w:sz="0" w:space="0" w:color="auto"/>
                <w:right w:val="none" w:sz="0" w:space="0" w:color="auto"/>
              </w:divBdr>
            </w:div>
            <w:div w:id="10234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794">
      <w:bodyDiv w:val="1"/>
      <w:marLeft w:val="0"/>
      <w:marRight w:val="0"/>
      <w:marTop w:val="0"/>
      <w:marBottom w:val="0"/>
      <w:divBdr>
        <w:top w:val="none" w:sz="0" w:space="0" w:color="auto"/>
        <w:left w:val="none" w:sz="0" w:space="0" w:color="auto"/>
        <w:bottom w:val="none" w:sz="0" w:space="0" w:color="auto"/>
        <w:right w:val="none" w:sz="0" w:space="0" w:color="auto"/>
      </w:divBdr>
    </w:div>
    <w:div w:id="21177735">
      <w:bodyDiv w:val="1"/>
      <w:marLeft w:val="0"/>
      <w:marRight w:val="0"/>
      <w:marTop w:val="0"/>
      <w:marBottom w:val="0"/>
      <w:divBdr>
        <w:top w:val="none" w:sz="0" w:space="0" w:color="auto"/>
        <w:left w:val="none" w:sz="0" w:space="0" w:color="auto"/>
        <w:bottom w:val="none" w:sz="0" w:space="0" w:color="auto"/>
        <w:right w:val="none" w:sz="0" w:space="0" w:color="auto"/>
      </w:divBdr>
    </w:div>
    <w:div w:id="50155621">
      <w:bodyDiv w:val="1"/>
      <w:marLeft w:val="0"/>
      <w:marRight w:val="0"/>
      <w:marTop w:val="0"/>
      <w:marBottom w:val="0"/>
      <w:divBdr>
        <w:top w:val="none" w:sz="0" w:space="0" w:color="auto"/>
        <w:left w:val="none" w:sz="0" w:space="0" w:color="auto"/>
        <w:bottom w:val="none" w:sz="0" w:space="0" w:color="auto"/>
        <w:right w:val="none" w:sz="0" w:space="0" w:color="auto"/>
      </w:divBdr>
    </w:div>
    <w:div w:id="51975093">
      <w:bodyDiv w:val="1"/>
      <w:marLeft w:val="0"/>
      <w:marRight w:val="0"/>
      <w:marTop w:val="0"/>
      <w:marBottom w:val="0"/>
      <w:divBdr>
        <w:top w:val="none" w:sz="0" w:space="0" w:color="auto"/>
        <w:left w:val="none" w:sz="0" w:space="0" w:color="auto"/>
        <w:bottom w:val="none" w:sz="0" w:space="0" w:color="auto"/>
        <w:right w:val="none" w:sz="0" w:space="0" w:color="auto"/>
      </w:divBdr>
    </w:div>
    <w:div w:id="190531620">
      <w:bodyDiv w:val="1"/>
      <w:marLeft w:val="0"/>
      <w:marRight w:val="0"/>
      <w:marTop w:val="0"/>
      <w:marBottom w:val="0"/>
      <w:divBdr>
        <w:top w:val="none" w:sz="0" w:space="0" w:color="auto"/>
        <w:left w:val="none" w:sz="0" w:space="0" w:color="auto"/>
        <w:bottom w:val="none" w:sz="0" w:space="0" w:color="auto"/>
        <w:right w:val="none" w:sz="0" w:space="0" w:color="auto"/>
      </w:divBdr>
    </w:div>
    <w:div w:id="392435957">
      <w:bodyDiv w:val="1"/>
      <w:marLeft w:val="0"/>
      <w:marRight w:val="0"/>
      <w:marTop w:val="0"/>
      <w:marBottom w:val="0"/>
      <w:divBdr>
        <w:top w:val="none" w:sz="0" w:space="0" w:color="auto"/>
        <w:left w:val="none" w:sz="0" w:space="0" w:color="auto"/>
        <w:bottom w:val="none" w:sz="0" w:space="0" w:color="auto"/>
        <w:right w:val="none" w:sz="0" w:space="0" w:color="auto"/>
      </w:divBdr>
    </w:div>
    <w:div w:id="399862132">
      <w:bodyDiv w:val="1"/>
      <w:marLeft w:val="0"/>
      <w:marRight w:val="0"/>
      <w:marTop w:val="0"/>
      <w:marBottom w:val="0"/>
      <w:divBdr>
        <w:top w:val="none" w:sz="0" w:space="0" w:color="auto"/>
        <w:left w:val="none" w:sz="0" w:space="0" w:color="auto"/>
        <w:bottom w:val="none" w:sz="0" w:space="0" w:color="auto"/>
        <w:right w:val="none" w:sz="0" w:space="0" w:color="auto"/>
      </w:divBdr>
    </w:div>
    <w:div w:id="420686739">
      <w:bodyDiv w:val="1"/>
      <w:marLeft w:val="0"/>
      <w:marRight w:val="0"/>
      <w:marTop w:val="0"/>
      <w:marBottom w:val="0"/>
      <w:divBdr>
        <w:top w:val="none" w:sz="0" w:space="0" w:color="auto"/>
        <w:left w:val="none" w:sz="0" w:space="0" w:color="auto"/>
        <w:bottom w:val="none" w:sz="0" w:space="0" w:color="auto"/>
        <w:right w:val="none" w:sz="0" w:space="0" w:color="auto"/>
      </w:divBdr>
    </w:div>
    <w:div w:id="495417666">
      <w:bodyDiv w:val="1"/>
      <w:marLeft w:val="0"/>
      <w:marRight w:val="0"/>
      <w:marTop w:val="0"/>
      <w:marBottom w:val="0"/>
      <w:divBdr>
        <w:top w:val="none" w:sz="0" w:space="0" w:color="auto"/>
        <w:left w:val="none" w:sz="0" w:space="0" w:color="auto"/>
        <w:bottom w:val="none" w:sz="0" w:space="0" w:color="auto"/>
        <w:right w:val="none" w:sz="0" w:space="0" w:color="auto"/>
      </w:divBdr>
      <w:divsChild>
        <w:div w:id="911043375">
          <w:marLeft w:val="0"/>
          <w:marRight w:val="0"/>
          <w:marTop w:val="480"/>
          <w:marBottom w:val="480"/>
          <w:divBdr>
            <w:top w:val="none" w:sz="0" w:space="0" w:color="auto"/>
            <w:left w:val="single" w:sz="48" w:space="12" w:color="B1B4B6"/>
            <w:bottom w:val="none" w:sz="0" w:space="0" w:color="auto"/>
            <w:right w:val="none" w:sz="0" w:space="0" w:color="auto"/>
          </w:divBdr>
        </w:div>
      </w:divsChild>
    </w:div>
    <w:div w:id="527765592">
      <w:bodyDiv w:val="1"/>
      <w:marLeft w:val="0"/>
      <w:marRight w:val="0"/>
      <w:marTop w:val="0"/>
      <w:marBottom w:val="0"/>
      <w:divBdr>
        <w:top w:val="none" w:sz="0" w:space="0" w:color="auto"/>
        <w:left w:val="none" w:sz="0" w:space="0" w:color="auto"/>
        <w:bottom w:val="none" w:sz="0" w:space="0" w:color="auto"/>
        <w:right w:val="none" w:sz="0" w:space="0" w:color="auto"/>
      </w:divBdr>
    </w:div>
    <w:div w:id="546142136">
      <w:bodyDiv w:val="1"/>
      <w:marLeft w:val="0"/>
      <w:marRight w:val="0"/>
      <w:marTop w:val="0"/>
      <w:marBottom w:val="0"/>
      <w:divBdr>
        <w:top w:val="none" w:sz="0" w:space="0" w:color="auto"/>
        <w:left w:val="none" w:sz="0" w:space="0" w:color="auto"/>
        <w:bottom w:val="none" w:sz="0" w:space="0" w:color="auto"/>
        <w:right w:val="none" w:sz="0" w:space="0" w:color="auto"/>
      </w:divBdr>
    </w:div>
    <w:div w:id="573777446">
      <w:bodyDiv w:val="1"/>
      <w:marLeft w:val="0"/>
      <w:marRight w:val="0"/>
      <w:marTop w:val="0"/>
      <w:marBottom w:val="0"/>
      <w:divBdr>
        <w:top w:val="none" w:sz="0" w:space="0" w:color="auto"/>
        <w:left w:val="none" w:sz="0" w:space="0" w:color="auto"/>
        <w:bottom w:val="none" w:sz="0" w:space="0" w:color="auto"/>
        <w:right w:val="none" w:sz="0" w:space="0" w:color="auto"/>
      </w:divBdr>
    </w:div>
    <w:div w:id="588122905">
      <w:bodyDiv w:val="1"/>
      <w:marLeft w:val="0"/>
      <w:marRight w:val="0"/>
      <w:marTop w:val="0"/>
      <w:marBottom w:val="0"/>
      <w:divBdr>
        <w:top w:val="none" w:sz="0" w:space="0" w:color="auto"/>
        <w:left w:val="none" w:sz="0" w:space="0" w:color="auto"/>
        <w:bottom w:val="none" w:sz="0" w:space="0" w:color="auto"/>
        <w:right w:val="none" w:sz="0" w:space="0" w:color="auto"/>
      </w:divBdr>
    </w:div>
    <w:div w:id="618953654">
      <w:bodyDiv w:val="1"/>
      <w:marLeft w:val="0"/>
      <w:marRight w:val="0"/>
      <w:marTop w:val="0"/>
      <w:marBottom w:val="0"/>
      <w:divBdr>
        <w:top w:val="none" w:sz="0" w:space="0" w:color="auto"/>
        <w:left w:val="none" w:sz="0" w:space="0" w:color="auto"/>
        <w:bottom w:val="none" w:sz="0" w:space="0" w:color="auto"/>
        <w:right w:val="none" w:sz="0" w:space="0" w:color="auto"/>
      </w:divBdr>
      <w:divsChild>
        <w:div w:id="500046199">
          <w:marLeft w:val="0"/>
          <w:marRight w:val="0"/>
          <w:marTop w:val="0"/>
          <w:marBottom w:val="0"/>
          <w:divBdr>
            <w:top w:val="none" w:sz="0" w:space="0" w:color="auto"/>
            <w:left w:val="none" w:sz="0" w:space="0" w:color="auto"/>
            <w:bottom w:val="none" w:sz="0" w:space="0" w:color="auto"/>
            <w:right w:val="none" w:sz="0" w:space="0" w:color="auto"/>
          </w:divBdr>
        </w:div>
        <w:div w:id="1827739964">
          <w:marLeft w:val="0"/>
          <w:marRight w:val="0"/>
          <w:marTop w:val="0"/>
          <w:marBottom w:val="0"/>
          <w:divBdr>
            <w:top w:val="none" w:sz="0" w:space="0" w:color="auto"/>
            <w:left w:val="none" w:sz="0" w:space="0" w:color="auto"/>
            <w:bottom w:val="none" w:sz="0" w:space="0" w:color="auto"/>
            <w:right w:val="none" w:sz="0" w:space="0" w:color="auto"/>
          </w:divBdr>
        </w:div>
      </w:divsChild>
    </w:div>
    <w:div w:id="626206013">
      <w:bodyDiv w:val="1"/>
      <w:marLeft w:val="0"/>
      <w:marRight w:val="0"/>
      <w:marTop w:val="0"/>
      <w:marBottom w:val="0"/>
      <w:divBdr>
        <w:top w:val="none" w:sz="0" w:space="0" w:color="auto"/>
        <w:left w:val="none" w:sz="0" w:space="0" w:color="auto"/>
        <w:bottom w:val="none" w:sz="0" w:space="0" w:color="auto"/>
        <w:right w:val="none" w:sz="0" w:space="0" w:color="auto"/>
      </w:divBdr>
    </w:div>
    <w:div w:id="679897579">
      <w:bodyDiv w:val="1"/>
      <w:marLeft w:val="0"/>
      <w:marRight w:val="0"/>
      <w:marTop w:val="0"/>
      <w:marBottom w:val="0"/>
      <w:divBdr>
        <w:top w:val="none" w:sz="0" w:space="0" w:color="auto"/>
        <w:left w:val="none" w:sz="0" w:space="0" w:color="auto"/>
        <w:bottom w:val="none" w:sz="0" w:space="0" w:color="auto"/>
        <w:right w:val="none" w:sz="0" w:space="0" w:color="auto"/>
      </w:divBdr>
    </w:div>
    <w:div w:id="721518427">
      <w:bodyDiv w:val="1"/>
      <w:marLeft w:val="0"/>
      <w:marRight w:val="0"/>
      <w:marTop w:val="0"/>
      <w:marBottom w:val="0"/>
      <w:divBdr>
        <w:top w:val="none" w:sz="0" w:space="0" w:color="auto"/>
        <w:left w:val="none" w:sz="0" w:space="0" w:color="auto"/>
        <w:bottom w:val="none" w:sz="0" w:space="0" w:color="auto"/>
        <w:right w:val="none" w:sz="0" w:space="0" w:color="auto"/>
      </w:divBdr>
    </w:div>
    <w:div w:id="798493441">
      <w:bodyDiv w:val="1"/>
      <w:marLeft w:val="0"/>
      <w:marRight w:val="0"/>
      <w:marTop w:val="0"/>
      <w:marBottom w:val="0"/>
      <w:divBdr>
        <w:top w:val="none" w:sz="0" w:space="0" w:color="auto"/>
        <w:left w:val="none" w:sz="0" w:space="0" w:color="auto"/>
        <w:bottom w:val="none" w:sz="0" w:space="0" w:color="auto"/>
        <w:right w:val="none" w:sz="0" w:space="0" w:color="auto"/>
      </w:divBdr>
    </w:div>
    <w:div w:id="899250477">
      <w:bodyDiv w:val="1"/>
      <w:marLeft w:val="0"/>
      <w:marRight w:val="0"/>
      <w:marTop w:val="0"/>
      <w:marBottom w:val="0"/>
      <w:divBdr>
        <w:top w:val="none" w:sz="0" w:space="0" w:color="auto"/>
        <w:left w:val="none" w:sz="0" w:space="0" w:color="auto"/>
        <w:bottom w:val="none" w:sz="0" w:space="0" w:color="auto"/>
        <w:right w:val="none" w:sz="0" w:space="0" w:color="auto"/>
      </w:divBdr>
    </w:div>
    <w:div w:id="1001353304">
      <w:bodyDiv w:val="1"/>
      <w:marLeft w:val="0"/>
      <w:marRight w:val="0"/>
      <w:marTop w:val="0"/>
      <w:marBottom w:val="0"/>
      <w:divBdr>
        <w:top w:val="none" w:sz="0" w:space="0" w:color="auto"/>
        <w:left w:val="none" w:sz="0" w:space="0" w:color="auto"/>
        <w:bottom w:val="none" w:sz="0" w:space="0" w:color="auto"/>
        <w:right w:val="none" w:sz="0" w:space="0" w:color="auto"/>
      </w:divBdr>
    </w:div>
    <w:div w:id="1028676927">
      <w:bodyDiv w:val="1"/>
      <w:marLeft w:val="0"/>
      <w:marRight w:val="0"/>
      <w:marTop w:val="0"/>
      <w:marBottom w:val="0"/>
      <w:divBdr>
        <w:top w:val="none" w:sz="0" w:space="0" w:color="auto"/>
        <w:left w:val="none" w:sz="0" w:space="0" w:color="auto"/>
        <w:bottom w:val="none" w:sz="0" w:space="0" w:color="auto"/>
        <w:right w:val="none" w:sz="0" w:space="0" w:color="auto"/>
      </w:divBdr>
    </w:div>
    <w:div w:id="1040401395">
      <w:bodyDiv w:val="1"/>
      <w:marLeft w:val="0"/>
      <w:marRight w:val="0"/>
      <w:marTop w:val="0"/>
      <w:marBottom w:val="0"/>
      <w:divBdr>
        <w:top w:val="none" w:sz="0" w:space="0" w:color="auto"/>
        <w:left w:val="none" w:sz="0" w:space="0" w:color="auto"/>
        <w:bottom w:val="none" w:sz="0" w:space="0" w:color="auto"/>
        <w:right w:val="none" w:sz="0" w:space="0" w:color="auto"/>
      </w:divBdr>
    </w:div>
    <w:div w:id="1049375478">
      <w:bodyDiv w:val="1"/>
      <w:marLeft w:val="0"/>
      <w:marRight w:val="0"/>
      <w:marTop w:val="0"/>
      <w:marBottom w:val="0"/>
      <w:divBdr>
        <w:top w:val="none" w:sz="0" w:space="0" w:color="auto"/>
        <w:left w:val="none" w:sz="0" w:space="0" w:color="auto"/>
        <w:bottom w:val="none" w:sz="0" w:space="0" w:color="auto"/>
        <w:right w:val="none" w:sz="0" w:space="0" w:color="auto"/>
      </w:divBdr>
    </w:div>
    <w:div w:id="1060322956">
      <w:bodyDiv w:val="1"/>
      <w:marLeft w:val="0"/>
      <w:marRight w:val="0"/>
      <w:marTop w:val="0"/>
      <w:marBottom w:val="0"/>
      <w:divBdr>
        <w:top w:val="none" w:sz="0" w:space="0" w:color="auto"/>
        <w:left w:val="none" w:sz="0" w:space="0" w:color="auto"/>
        <w:bottom w:val="none" w:sz="0" w:space="0" w:color="auto"/>
        <w:right w:val="none" w:sz="0" w:space="0" w:color="auto"/>
      </w:divBdr>
    </w:div>
    <w:div w:id="1102795641">
      <w:bodyDiv w:val="1"/>
      <w:marLeft w:val="0"/>
      <w:marRight w:val="0"/>
      <w:marTop w:val="0"/>
      <w:marBottom w:val="0"/>
      <w:divBdr>
        <w:top w:val="none" w:sz="0" w:space="0" w:color="auto"/>
        <w:left w:val="none" w:sz="0" w:space="0" w:color="auto"/>
        <w:bottom w:val="none" w:sz="0" w:space="0" w:color="auto"/>
        <w:right w:val="none" w:sz="0" w:space="0" w:color="auto"/>
      </w:divBdr>
    </w:div>
    <w:div w:id="1124470713">
      <w:bodyDiv w:val="1"/>
      <w:marLeft w:val="0"/>
      <w:marRight w:val="0"/>
      <w:marTop w:val="0"/>
      <w:marBottom w:val="0"/>
      <w:divBdr>
        <w:top w:val="none" w:sz="0" w:space="0" w:color="auto"/>
        <w:left w:val="none" w:sz="0" w:space="0" w:color="auto"/>
        <w:bottom w:val="none" w:sz="0" w:space="0" w:color="auto"/>
        <w:right w:val="none" w:sz="0" w:space="0" w:color="auto"/>
      </w:divBdr>
    </w:div>
    <w:div w:id="1146820874">
      <w:marLeft w:val="0"/>
      <w:marRight w:val="0"/>
      <w:marTop w:val="0"/>
      <w:marBottom w:val="0"/>
      <w:divBdr>
        <w:top w:val="none" w:sz="0" w:space="0" w:color="auto"/>
        <w:left w:val="none" w:sz="0" w:space="0" w:color="auto"/>
        <w:bottom w:val="none" w:sz="0" w:space="0" w:color="auto"/>
        <w:right w:val="none" w:sz="0" w:space="0" w:color="auto"/>
      </w:divBdr>
    </w:div>
    <w:div w:id="1146820875">
      <w:marLeft w:val="0"/>
      <w:marRight w:val="0"/>
      <w:marTop w:val="0"/>
      <w:marBottom w:val="0"/>
      <w:divBdr>
        <w:top w:val="none" w:sz="0" w:space="0" w:color="auto"/>
        <w:left w:val="none" w:sz="0" w:space="0" w:color="auto"/>
        <w:bottom w:val="none" w:sz="0" w:space="0" w:color="auto"/>
        <w:right w:val="none" w:sz="0" w:space="0" w:color="auto"/>
      </w:divBdr>
    </w:div>
    <w:div w:id="1146820876">
      <w:marLeft w:val="0"/>
      <w:marRight w:val="0"/>
      <w:marTop w:val="0"/>
      <w:marBottom w:val="0"/>
      <w:divBdr>
        <w:top w:val="none" w:sz="0" w:space="0" w:color="auto"/>
        <w:left w:val="none" w:sz="0" w:space="0" w:color="auto"/>
        <w:bottom w:val="none" w:sz="0" w:space="0" w:color="auto"/>
        <w:right w:val="none" w:sz="0" w:space="0" w:color="auto"/>
      </w:divBdr>
    </w:div>
    <w:div w:id="1146820877">
      <w:marLeft w:val="0"/>
      <w:marRight w:val="0"/>
      <w:marTop w:val="0"/>
      <w:marBottom w:val="0"/>
      <w:divBdr>
        <w:top w:val="none" w:sz="0" w:space="0" w:color="auto"/>
        <w:left w:val="none" w:sz="0" w:space="0" w:color="auto"/>
        <w:bottom w:val="none" w:sz="0" w:space="0" w:color="auto"/>
        <w:right w:val="none" w:sz="0" w:space="0" w:color="auto"/>
      </w:divBdr>
    </w:div>
    <w:div w:id="1146820878">
      <w:marLeft w:val="0"/>
      <w:marRight w:val="0"/>
      <w:marTop w:val="0"/>
      <w:marBottom w:val="0"/>
      <w:divBdr>
        <w:top w:val="none" w:sz="0" w:space="0" w:color="auto"/>
        <w:left w:val="none" w:sz="0" w:space="0" w:color="auto"/>
        <w:bottom w:val="none" w:sz="0" w:space="0" w:color="auto"/>
        <w:right w:val="none" w:sz="0" w:space="0" w:color="auto"/>
      </w:divBdr>
    </w:div>
    <w:div w:id="1146820879">
      <w:marLeft w:val="0"/>
      <w:marRight w:val="0"/>
      <w:marTop w:val="0"/>
      <w:marBottom w:val="0"/>
      <w:divBdr>
        <w:top w:val="none" w:sz="0" w:space="0" w:color="auto"/>
        <w:left w:val="none" w:sz="0" w:space="0" w:color="auto"/>
        <w:bottom w:val="none" w:sz="0" w:space="0" w:color="auto"/>
        <w:right w:val="none" w:sz="0" w:space="0" w:color="auto"/>
      </w:divBdr>
    </w:div>
    <w:div w:id="1146820880">
      <w:marLeft w:val="0"/>
      <w:marRight w:val="0"/>
      <w:marTop w:val="0"/>
      <w:marBottom w:val="0"/>
      <w:divBdr>
        <w:top w:val="none" w:sz="0" w:space="0" w:color="auto"/>
        <w:left w:val="none" w:sz="0" w:space="0" w:color="auto"/>
        <w:bottom w:val="none" w:sz="0" w:space="0" w:color="auto"/>
        <w:right w:val="none" w:sz="0" w:space="0" w:color="auto"/>
      </w:divBdr>
    </w:div>
    <w:div w:id="1146820881">
      <w:marLeft w:val="0"/>
      <w:marRight w:val="0"/>
      <w:marTop w:val="0"/>
      <w:marBottom w:val="0"/>
      <w:divBdr>
        <w:top w:val="none" w:sz="0" w:space="0" w:color="auto"/>
        <w:left w:val="none" w:sz="0" w:space="0" w:color="auto"/>
        <w:bottom w:val="none" w:sz="0" w:space="0" w:color="auto"/>
        <w:right w:val="none" w:sz="0" w:space="0" w:color="auto"/>
      </w:divBdr>
    </w:div>
    <w:div w:id="1146820882">
      <w:marLeft w:val="0"/>
      <w:marRight w:val="0"/>
      <w:marTop w:val="0"/>
      <w:marBottom w:val="0"/>
      <w:divBdr>
        <w:top w:val="none" w:sz="0" w:space="0" w:color="auto"/>
        <w:left w:val="none" w:sz="0" w:space="0" w:color="auto"/>
        <w:bottom w:val="none" w:sz="0" w:space="0" w:color="auto"/>
        <w:right w:val="none" w:sz="0" w:space="0" w:color="auto"/>
      </w:divBdr>
    </w:div>
    <w:div w:id="1146820883">
      <w:marLeft w:val="0"/>
      <w:marRight w:val="0"/>
      <w:marTop w:val="0"/>
      <w:marBottom w:val="0"/>
      <w:divBdr>
        <w:top w:val="none" w:sz="0" w:space="0" w:color="auto"/>
        <w:left w:val="none" w:sz="0" w:space="0" w:color="auto"/>
        <w:bottom w:val="none" w:sz="0" w:space="0" w:color="auto"/>
        <w:right w:val="none" w:sz="0" w:space="0" w:color="auto"/>
      </w:divBdr>
    </w:div>
    <w:div w:id="1146820884">
      <w:marLeft w:val="0"/>
      <w:marRight w:val="0"/>
      <w:marTop w:val="0"/>
      <w:marBottom w:val="0"/>
      <w:divBdr>
        <w:top w:val="none" w:sz="0" w:space="0" w:color="auto"/>
        <w:left w:val="none" w:sz="0" w:space="0" w:color="auto"/>
        <w:bottom w:val="none" w:sz="0" w:space="0" w:color="auto"/>
        <w:right w:val="none" w:sz="0" w:space="0" w:color="auto"/>
      </w:divBdr>
    </w:div>
    <w:div w:id="1146820885">
      <w:marLeft w:val="0"/>
      <w:marRight w:val="0"/>
      <w:marTop w:val="0"/>
      <w:marBottom w:val="0"/>
      <w:divBdr>
        <w:top w:val="none" w:sz="0" w:space="0" w:color="auto"/>
        <w:left w:val="none" w:sz="0" w:space="0" w:color="auto"/>
        <w:bottom w:val="none" w:sz="0" w:space="0" w:color="auto"/>
        <w:right w:val="none" w:sz="0" w:space="0" w:color="auto"/>
      </w:divBdr>
    </w:div>
    <w:div w:id="1146820886">
      <w:marLeft w:val="0"/>
      <w:marRight w:val="0"/>
      <w:marTop w:val="0"/>
      <w:marBottom w:val="0"/>
      <w:divBdr>
        <w:top w:val="none" w:sz="0" w:space="0" w:color="auto"/>
        <w:left w:val="none" w:sz="0" w:space="0" w:color="auto"/>
        <w:bottom w:val="none" w:sz="0" w:space="0" w:color="auto"/>
        <w:right w:val="none" w:sz="0" w:space="0" w:color="auto"/>
      </w:divBdr>
    </w:div>
    <w:div w:id="1146820887">
      <w:marLeft w:val="0"/>
      <w:marRight w:val="0"/>
      <w:marTop w:val="0"/>
      <w:marBottom w:val="0"/>
      <w:divBdr>
        <w:top w:val="none" w:sz="0" w:space="0" w:color="auto"/>
        <w:left w:val="none" w:sz="0" w:space="0" w:color="auto"/>
        <w:bottom w:val="none" w:sz="0" w:space="0" w:color="auto"/>
        <w:right w:val="none" w:sz="0" w:space="0" w:color="auto"/>
      </w:divBdr>
    </w:div>
    <w:div w:id="1146820888">
      <w:marLeft w:val="0"/>
      <w:marRight w:val="0"/>
      <w:marTop w:val="0"/>
      <w:marBottom w:val="0"/>
      <w:divBdr>
        <w:top w:val="none" w:sz="0" w:space="0" w:color="auto"/>
        <w:left w:val="none" w:sz="0" w:space="0" w:color="auto"/>
        <w:bottom w:val="none" w:sz="0" w:space="0" w:color="auto"/>
        <w:right w:val="none" w:sz="0" w:space="0" w:color="auto"/>
      </w:divBdr>
    </w:div>
    <w:div w:id="1146820889">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1146820891">
      <w:marLeft w:val="0"/>
      <w:marRight w:val="0"/>
      <w:marTop w:val="0"/>
      <w:marBottom w:val="0"/>
      <w:divBdr>
        <w:top w:val="none" w:sz="0" w:space="0" w:color="auto"/>
        <w:left w:val="none" w:sz="0" w:space="0" w:color="auto"/>
        <w:bottom w:val="none" w:sz="0" w:space="0" w:color="auto"/>
        <w:right w:val="none" w:sz="0" w:space="0" w:color="auto"/>
      </w:divBdr>
    </w:div>
    <w:div w:id="1146820892">
      <w:marLeft w:val="0"/>
      <w:marRight w:val="0"/>
      <w:marTop w:val="0"/>
      <w:marBottom w:val="0"/>
      <w:divBdr>
        <w:top w:val="none" w:sz="0" w:space="0" w:color="auto"/>
        <w:left w:val="none" w:sz="0" w:space="0" w:color="auto"/>
        <w:bottom w:val="none" w:sz="0" w:space="0" w:color="auto"/>
        <w:right w:val="none" w:sz="0" w:space="0" w:color="auto"/>
      </w:divBdr>
    </w:div>
    <w:div w:id="1146820893">
      <w:marLeft w:val="0"/>
      <w:marRight w:val="0"/>
      <w:marTop w:val="0"/>
      <w:marBottom w:val="0"/>
      <w:divBdr>
        <w:top w:val="none" w:sz="0" w:space="0" w:color="auto"/>
        <w:left w:val="none" w:sz="0" w:space="0" w:color="auto"/>
        <w:bottom w:val="none" w:sz="0" w:space="0" w:color="auto"/>
        <w:right w:val="none" w:sz="0" w:space="0" w:color="auto"/>
      </w:divBdr>
    </w:div>
    <w:div w:id="1146820894">
      <w:marLeft w:val="0"/>
      <w:marRight w:val="0"/>
      <w:marTop w:val="0"/>
      <w:marBottom w:val="0"/>
      <w:divBdr>
        <w:top w:val="none" w:sz="0" w:space="0" w:color="auto"/>
        <w:left w:val="none" w:sz="0" w:space="0" w:color="auto"/>
        <w:bottom w:val="none" w:sz="0" w:space="0" w:color="auto"/>
        <w:right w:val="none" w:sz="0" w:space="0" w:color="auto"/>
      </w:divBdr>
    </w:div>
    <w:div w:id="1146820895">
      <w:marLeft w:val="0"/>
      <w:marRight w:val="0"/>
      <w:marTop w:val="0"/>
      <w:marBottom w:val="0"/>
      <w:divBdr>
        <w:top w:val="none" w:sz="0" w:space="0" w:color="auto"/>
        <w:left w:val="none" w:sz="0" w:space="0" w:color="auto"/>
        <w:bottom w:val="none" w:sz="0" w:space="0" w:color="auto"/>
        <w:right w:val="none" w:sz="0" w:space="0" w:color="auto"/>
      </w:divBdr>
    </w:div>
    <w:div w:id="1146820896">
      <w:marLeft w:val="0"/>
      <w:marRight w:val="0"/>
      <w:marTop w:val="0"/>
      <w:marBottom w:val="0"/>
      <w:divBdr>
        <w:top w:val="none" w:sz="0" w:space="0" w:color="auto"/>
        <w:left w:val="none" w:sz="0" w:space="0" w:color="auto"/>
        <w:bottom w:val="none" w:sz="0" w:space="0" w:color="auto"/>
        <w:right w:val="none" w:sz="0" w:space="0" w:color="auto"/>
      </w:divBdr>
    </w:div>
    <w:div w:id="1146820897">
      <w:marLeft w:val="0"/>
      <w:marRight w:val="0"/>
      <w:marTop w:val="0"/>
      <w:marBottom w:val="0"/>
      <w:divBdr>
        <w:top w:val="none" w:sz="0" w:space="0" w:color="auto"/>
        <w:left w:val="none" w:sz="0" w:space="0" w:color="auto"/>
        <w:bottom w:val="none" w:sz="0" w:space="0" w:color="auto"/>
        <w:right w:val="none" w:sz="0" w:space="0" w:color="auto"/>
      </w:divBdr>
    </w:div>
    <w:div w:id="1146820898">
      <w:marLeft w:val="0"/>
      <w:marRight w:val="0"/>
      <w:marTop w:val="0"/>
      <w:marBottom w:val="0"/>
      <w:divBdr>
        <w:top w:val="none" w:sz="0" w:space="0" w:color="auto"/>
        <w:left w:val="none" w:sz="0" w:space="0" w:color="auto"/>
        <w:bottom w:val="none" w:sz="0" w:space="0" w:color="auto"/>
        <w:right w:val="none" w:sz="0" w:space="0" w:color="auto"/>
      </w:divBdr>
    </w:div>
    <w:div w:id="1178500082">
      <w:bodyDiv w:val="1"/>
      <w:marLeft w:val="0"/>
      <w:marRight w:val="0"/>
      <w:marTop w:val="0"/>
      <w:marBottom w:val="0"/>
      <w:divBdr>
        <w:top w:val="none" w:sz="0" w:space="0" w:color="auto"/>
        <w:left w:val="none" w:sz="0" w:space="0" w:color="auto"/>
        <w:bottom w:val="none" w:sz="0" w:space="0" w:color="auto"/>
        <w:right w:val="none" w:sz="0" w:space="0" w:color="auto"/>
      </w:divBdr>
    </w:div>
    <w:div w:id="1217005730">
      <w:bodyDiv w:val="1"/>
      <w:marLeft w:val="0"/>
      <w:marRight w:val="0"/>
      <w:marTop w:val="0"/>
      <w:marBottom w:val="0"/>
      <w:divBdr>
        <w:top w:val="none" w:sz="0" w:space="0" w:color="auto"/>
        <w:left w:val="none" w:sz="0" w:space="0" w:color="auto"/>
        <w:bottom w:val="none" w:sz="0" w:space="0" w:color="auto"/>
        <w:right w:val="none" w:sz="0" w:space="0" w:color="auto"/>
      </w:divBdr>
    </w:div>
    <w:div w:id="1280258994">
      <w:bodyDiv w:val="1"/>
      <w:marLeft w:val="0"/>
      <w:marRight w:val="0"/>
      <w:marTop w:val="0"/>
      <w:marBottom w:val="0"/>
      <w:divBdr>
        <w:top w:val="none" w:sz="0" w:space="0" w:color="auto"/>
        <w:left w:val="none" w:sz="0" w:space="0" w:color="auto"/>
        <w:bottom w:val="none" w:sz="0" w:space="0" w:color="auto"/>
        <w:right w:val="none" w:sz="0" w:space="0" w:color="auto"/>
      </w:divBdr>
    </w:div>
    <w:div w:id="1299650200">
      <w:bodyDiv w:val="1"/>
      <w:marLeft w:val="0"/>
      <w:marRight w:val="0"/>
      <w:marTop w:val="0"/>
      <w:marBottom w:val="0"/>
      <w:divBdr>
        <w:top w:val="none" w:sz="0" w:space="0" w:color="auto"/>
        <w:left w:val="none" w:sz="0" w:space="0" w:color="auto"/>
        <w:bottom w:val="none" w:sz="0" w:space="0" w:color="auto"/>
        <w:right w:val="none" w:sz="0" w:space="0" w:color="auto"/>
      </w:divBdr>
    </w:div>
    <w:div w:id="1364869736">
      <w:bodyDiv w:val="1"/>
      <w:marLeft w:val="0"/>
      <w:marRight w:val="0"/>
      <w:marTop w:val="0"/>
      <w:marBottom w:val="0"/>
      <w:divBdr>
        <w:top w:val="none" w:sz="0" w:space="0" w:color="auto"/>
        <w:left w:val="none" w:sz="0" w:space="0" w:color="auto"/>
        <w:bottom w:val="none" w:sz="0" w:space="0" w:color="auto"/>
        <w:right w:val="none" w:sz="0" w:space="0" w:color="auto"/>
      </w:divBdr>
    </w:div>
    <w:div w:id="1415587059">
      <w:bodyDiv w:val="1"/>
      <w:marLeft w:val="0"/>
      <w:marRight w:val="0"/>
      <w:marTop w:val="0"/>
      <w:marBottom w:val="0"/>
      <w:divBdr>
        <w:top w:val="none" w:sz="0" w:space="0" w:color="auto"/>
        <w:left w:val="none" w:sz="0" w:space="0" w:color="auto"/>
        <w:bottom w:val="none" w:sz="0" w:space="0" w:color="auto"/>
        <w:right w:val="none" w:sz="0" w:space="0" w:color="auto"/>
      </w:divBdr>
    </w:div>
    <w:div w:id="1445536750">
      <w:bodyDiv w:val="1"/>
      <w:marLeft w:val="0"/>
      <w:marRight w:val="0"/>
      <w:marTop w:val="0"/>
      <w:marBottom w:val="0"/>
      <w:divBdr>
        <w:top w:val="none" w:sz="0" w:space="0" w:color="auto"/>
        <w:left w:val="none" w:sz="0" w:space="0" w:color="auto"/>
        <w:bottom w:val="none" w:sz="0" w:space="0" w:color="auto"/>
        <w:right w:val="none" w:sz="0" w:space="0" w:color="auto"/>
      </w:divBdr>
    </w:div>
    <w:div w:id="1465386016">
      <w:bodyDiv w:val="1"/>
      <w:marLeft w:val="0"/>
      <w:marRight w:val="0"/>
      <w:marTop w:val="0"/>
      <w:marBottom w:val="0"/>
      <w:divBdr>
        <w:top w:val="none" w:sz="0" w:space="0" w:color="auto"/>
        <w:left w:val="none" w:sz="0" w:space="0" w:color="auto"/>
        <w:bottom w:val="none" w:sz="0" w:space="0" w:color="auto"/>
        <w:right w:val="none" w:sz="0" w:space="0" w:color="auto"/>
      </w:divBdr>
    </w:div>
    <w:div w:id="1476026899">
      <w:bodyDiv w:val="1"/>
      <w:marLeft w:val="0"/>
      <w:marRight w:val="0"/>
      <w:marTop w:val="0"/>
      <w:marBottom w:val="0"/>
      <w:divBdr>
        <w:top w:val="none" w:sz="0" w:space="0" w:color="auto"/>
        <w:left w:val="none" w:sz="0" w:space="0" w:color="auto"/>
        <w:bottom w:val="none" w:sz="0" w:space="0" w:color="auto"/>
        <w:right w:val="none" w:sz="0" w:space="0" w:color="auto"/>
      </w:divBdr>
    </w:div>
    <w:div w:id="1690140558">
      <w:bodyDiv w:val="1"/>
      <w:marLeft w:val="0"/>
      <w:marRight w:val="0"/>
      <w:marTop w:val="0"/>
      <w:marBottom w:val="0"/>
      <w:divBdr>
        <w:top w:val="none" w:sz="0" w:space="0" w:color="auto"/>
        <w:left w:val="none" w:sz="0" w:space="0" w:color="auto"/>
        <w:bottom w:val="none" w:sz="0" w:space="0" w:color="auto"/>
        <w:right w:val="none" w:sz="0" w:space="0" w:color="auto"/>
      </w:divBdr>
    </w:div>
    <w:div w:id="1765035962">
      <w:bodyDiv w:val="1"/>
      <w:marLeft w:val="0"/>
      <w:marRight w:val="0"/>
      <w:marTop w:val="0"/>
      <w:marBottom w:val="0"/>
      <w:divBdr>
        <w:top w:val="none" w:sz="0" w:space="0" w:color="auto"/>
        <w:left w:val="none" w:sz="0" w:space="0" w:color="auto"/>
        <w:bottom w:val="none" w:sz="0" w:space="0" w:color="auto"/>
        <w:right w:val="none" w:sz="0" w:space="0" w:color="auto"/>
      </w:divBdr>
    </w:div>
    <w:div w:id="1767000318">
      <w:bodyDiv w:val="1"/>
      <w:marLeft w:val="0"/>
      <w:marRight w:val="0"/>
      <w:marTop w:val="0"/>
      <w:marBottom w:val="0"/>
      <w:divBdr>
        <w:top w:val="none" w:sz="0" w:space="0" w:color="auto"/>
        <w:left w:val="none" w:sz="0" w:space="0" w:color="auto"/>
        <w:bottom w:val="none" w:sz="0" w:space="0" w:color="auto"/>
        <w:right w:val="none" w:sz="0" w:space="0" w:color="auto"/>
      </w:divBdr>
    </w:div>
    <w:div w:id="1773865869">
      <w:bodyDiv w:val="1"/>
      <w:marLeft w:val="0"/>
      <w:marRight w:val="0"/>
      <w:marTop w:val="0"/>
      <w:marBottom w:val="0"/>
      <w:divBdr>
        <w:top w:val="none" w:sz="0" w:space="0" w:color="auto"/>
        <w:left w:val="none" w:sz="0" w:space="0" w:color="auto"/>
        <w:bottom w:val="none" w:sz="0" w:space="0" w:color="auto"/>
        <w:right w:val="none" w:sz="0" w:space="0" w:color="auto"/>
      </w:divBdr>
    </w:div>
    <w:div w:id="1825584155">
      <w:bodyDiv w:val="1"/>
      <w:marLeft w:val="0"/>
      <w:marRight w:val="0"/>
      <w:marTop w:val="0"/>
      <w:marBottom w:val="0"/>
      <w:divBdr>
        <w:top w:val="none" w:sz="0" w:space="0" w:color="auto"/>
        <w:left w:val="none" w:sz="0" w:space="0" w:color="auto"/>
        <w:bottom w:val="none" w:sz="0" w:space="0" w:color="auto"/>
        <w:right w:val="none" w:sz="0" w:space="0" w:color="auto"/>
      </w:divBdr>
    </w:div>
    <w:div w:id="1919174430">
      <w:bodyDiv w:val="1"/>
      <w:marLeft w:val="0"/>
      <w:marRight w:val="0"/>
      <w:marTop w:val="0"/>
      <w:marBottom w:val="0"/>
      <w:divBdr>
        <w:top w:val="none" w:sz="0" w:space="0" w:color="auto"/>
        <w:left w:val="none" w:sz="0" w:space="0" w:color="auto"/>
        <w:bottom w:val="none" w:sz="0" w:space="0" w:color="auto"/>
        <w:right w:val="none" w:sz="0" w:space="0" w:color="auto"/>
      </w:divBdr>
    </w:div>
    <w:div w:id="1982495807">
      <w:bodyDiv w:val="1"/>
      <w:marLeft w:val="0"/>
      <w:marRight w:val="0"/>
      <w:marTop w:val="0"/>
      <w:marBottom w:val="0"/>
      <w:divBdr>
        <w:top w:val="none" w:sz="0" w:space="0" w:color="auto"/>
        <w:left w:val="none" w:sz="0" w:space="0" w:color="auto"/>
        <w:bottom w:val="none" w:sz="0" w:space="0" w:color="auto"/>
        <w:right w:val="none" w:sz="0" w:space="0" w:color="auto"/>
      </w:divBdr>
    </w:div>
    <w:div w:id="1982877821">
      <w:bodyDiv w:val="1"/>
      <w:marLeft w:val="0"/>
      <w:marRight w:val="0"/>
      <w:marTop w:val="0"/>
      <w:marBottom w:val="0"/>
      <w:divBdr>
        <w:top w:val="none" w:sz="0" w:space="0" w:color="auto"/>
        <w:left w:val="none" w:sz="0" w:space="0" w:color="auto"/>
        <w:bottom w:val="none" w:sz="0" w:space="0" w:color="auto"/>
        <w:right w:val="none" w:sz="0" w:space="0" w:color="auto"/>
      </w:divBdr>
    </w:div>
    <w:div w:id="1996101726">
      <w:bodyDiv w:val="1"/>
      <w:marLeft w:val="0"/>
      <w:marRight w:val="0"/>
      <w:marTop w:val="0"/>
      <w:marBottom w:val="0"/>
      <w:divBdr>
        <w:top w:val="none" w:sz="0" w:space="0" w:color="auto"/>
        <w:left w:val="none" w:sz="0" w:space="0" w:color="auto"/>
        <w:bottom w:val="none" w:sz="0" w:space="0" w:color="auto"/>
        <w:right w:val="none" w:sz="0" w:space="0" w:color="auto"/>
      </w:divBdr>
    </w:div>
    <w:div w:id="2040546448">
      <w:bodyDiv w:val="1"/>
      <w:marLeft w:val="0"/>
      <w:marRight w:val="0"/>
      <w:marTop w:val="0"/>
      <w:marBottom w:val="0"/>
      <w:divBdr>
        <w:top w:val="none" w:sz="0" w:space="0" w:color="auto"/>
        <w:left w:val="none" w:sz="0" w:space="0" w:color="auto"/>
        <w:bottom w:val="none" w:sz="0" w:space="0" w:color="auto"/>
        <w:right w:val="none" w:sz="0" w:space="0" w:color="auto"/>
      </w:divBdr>
    </w:div>
    <w:div w:id="20655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apply-start-up-lo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apply-for-business-rate-relie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tish-business-bank.co.uk/ourpartners/recovery-loan-scheme/faq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energy-bill-relief-scheme-help-for-businesses-and-other-non-domestic-customers" TargetMode="External"/><Relationship Id="rId5" Type="http://schemas.openxmlformats.org/officeDocument/2006/relationships/numbering" Target="numbering.xml"/><Relationship Id="rId15" Type="http://schemas.openxmlformats.org/officeDocument/2006/relationships/hyperlink" Target="https://www.gov.uk/guidance/recovery-loan-schem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a-hand-up-for-start-ups-33000-new-loans-for-small-businesses-as-900m-government-scheme-widene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13" ma:contentTypeDescription="Create a new document." ma:contentTypeScope="" ma:versionID="98347411cba915b839b2c17eb62f1a30">
  <xsd:schema xmlns:xsd="http://www.w3.org/2001/XMLSchema" xmlns:xs="http://www.w3.org/2001/XMLSchema" xmlns:p="http://schemas.microsoft.com/office/2006/metadata/properties" xmlns:ns3="e26c4e50-ea9b-4192-94d2-e70236926e53" xmlns:ns4="d3197d30-c7b6-4274-b863-7e34421eb7a1" targetNamespace="http://schemas.microsoft.com/office/2006/metadata/properties" ma:root="true" ma:fieldsID="291704a616f8caaa2d885fe443ef46c6" ns3:_="" ns4:_="">
    <xsd:import namespace="e26c4e50-ea9b-4192-94d2-e70236926e53"/>
    <xsd:import namespace="d3197d30-c7b6-4274-b863-7e34421eb7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c4e50-ea9b-4192-94d2-e70236926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B0ED-C57E-4B69-9583-EDBB8A5F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c4e50-ea9b-4192-94d2-e70236926e53"/>
    <ds:schemaRef ds:uri="d3197d30-c7b6-4274-b863-7e34421e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C0E36-0415-4C4F-9851-06EEEE170CEE}">
  <ds:schemaRefs>
    <ds:schemaRef ds:uri="http://schemas.microsoft.com/sharepoint/v3/contenttype/forms"/>
  </ds:schemaRefs>
</ds:datastoreItem>
</file>

<file path=customXml/itemProps3.xml><?xml version="1.0" encoding="utf-8"?>
<ds:datastoreItem xmlns:ds="http://schemas.openxmlformats.org/officeDocument/2006/customXml" ds:itemID="{168A114B-9405-E240-9AD3-408E6E625C5B}">
  <ds:schemaRefs>
    <ds:schemaRef ds:uri="http://schemas.openxmlformats.org/officeDocument/2006/bibliography"/>
  </ds:schemaRefs>
</ds:datastoreItem>
</file>

<file path=customXml/itemProps4.xml><?xml version="1.0" encoding="utf-8"?>
<ds:datastoreItem xmlns:ds="http://schemas.openxmlformats.org/officeDocument/2006/customXml" ds:itemID="{8D22FC5B-68B7-4C31-91EC-A10186A70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2132</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13999</CharactersWithSpaces>
  <SharedDoc>false</SharedDoc>
  <HLinks>
    <vt:vector size="18" baseType="variant">
      <vt:variant>
        <vt:i4>7536685</vt:i4>
      </vt:variant>
      <vt:variant>
        <vt:i4>6</vt:i4>
      </vt:variant>
      <vt:variant>
        <vt:i4>0</vt:i4>
      </vt:variant>
      <vt:variant>
        <vt:i4>5</vt:i4>
      </vt:variant>
      <vt:variant>
        <vt:lpwstr>http://accainpractice.newsweaver.co.uk/accainpractice/1fl4ivaef1k1l3m8eceq63/external?a=6&amp;p=58787423&amp;t=30229336</vt:lpwstr>
      </vt:variant>
      <vt:variant>
        <vt:lpwstr/>
      </vt:variant>
      <vt:variant>
        <vt:i4>4522065</vt:i4>
      </vt:variant>
      <vt:variant>
        <vt:i4>3</vt:i4>
      </vt:variant>
      <vt:variant>
        <vt:i4>0</vt:i4>
      </vt:variant>
      <vt:variant>
        <vt:i4>5</vt:i4>
      </vt:variant>
      <vt:variant>
        <vt:lpwstr>https://www.accaglobal.com/uk/en/employer/recruit-acca-accounting-technician-apprentices.html</vt:lpwstr>
      </vt:variant>
      <vt:variant>
        <vt:lpwstr/>
      </vt:variant>
      <vt:variant>
        <vt:i4>4194387</vt:i4>
      </vt:variant>
      <vt:variant>
        <vt:i4>0</vt:i4>
      </vt:variant>
      <vt:variant>
        <vt:i4>0</vt:i4>
      </vt:variant>
      <vt:variant>
        <vt:i4>5</vt:i4>
      </vt:variant>
      <vt:variant>
        <vt:lpwstr>https://www.apprenticeships.gov.uk/employer/how-much-is-it-going-to-cost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Yogesh Dhanak</cp:lastModifiedBy>
  <cp:revision>46</cp:revision>
  <cp:lastPrinted>2021-03-03T20:36:00Z</cp:lastPrinted>
  <dcterms:created xsi:type="dcterms:W3CDTF">2022-11-17T18:43:00Z</dcterms:created>
  <dcterms:modified xsi:type="dcterms:W3CDTF">2022-11-17T19:27:00Z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